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9D5E4B" w:rsidRDefault="009D5E4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6E0FB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Pr="00993A01" w:rsidRDefault="00993A01" w:rsidP="00993A01">
      <w:pPr>
        <w:spacing w:after="0"/>
        <w:jc w:val="center"/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</w:pPr>
      <w:r>
        <w:rPr>
          <w:rFonts w:ascii="Arial" w:hAnsi="Arial" w:cs="Arial"/>
          <w:b/>
          <w:sz w:val="32"/>
          <w:szCs w:val="32"/>
        </w:rPr>
        <w:t xml:space="preserve">Place of </w:t>
      </w:r>
      <w:r w:rsidR="00051077">
        <w:rPr>
          <w:rFonts w:ascii="Arial" w:hAnsi="Arial" w:cs="Arial"/>
          <w:b/>
          <w:sz w:val="32"/>
          <w:szCs w:val="32"/>
        </w:rPr>
        <w:t>U</w:t>
      </w:r>
      <w:r>
        <w:rPr>
          <w:rFonts w:ascii="Arial" w:hAnsi="Arial" w:cs="Arial"/>
          <w:b/>
          <w:sz w:val="32"/>
          <w:szCs w:val="32"/>
        </w:rPr>
        <w:t xml:space="preserve">sual </w:t>
      </w:r>
      <w:r w:rsidR="00051077">
        <w:rPr>
          <w:rFonts w:ascii="Arial" w:hAnsi="Arial" w:cs="Arial"/>
          <w:b/>
          <w:sz w:val="32"/>
          <w:szCs w:val="32"/>
        </w:rPr>
        <w:t>R</w:t>
      </w:r>
      <w:r>
        <w:rPr>
          <w:rFonts w:ascii="Arial" w:hAnsi="Arial" w:cs="Arial"/>
          <w:b/>
          <w:sz w:val="32"/>
          <w:szCs w:val="32"/>
        </w:rPr>
        <w:t>esidence</w:t>
      </w:r>
      <w:r w:rsidR="00F467F6" w:rsidRPr="00F467F6">
        <w:rPr>
          <w:rFonts w:ascii="Arial" w:hAnsi="Arial" w:cs="Arial"/>
          <w:b/>
          <w:sz w:val="32"/>
          <w:szCs w:val="32"/>
        </w:rPr>
        <w:t xml:space="preserve"> </w:t>
      </w:r>
      <w:r w:rsidR="00C84CA0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(all persons</w:t>
      </w:r>
      <w:r w:rsidR="00F467F6" w:rsidRPr="00F467F6">
        <w:rPr>
          <w:rFonts w:ascii="Arial" w:eastAsia="Times New Roman" w:hAnsi="Arial" w:cs="Arial"/>
          <w:b/>
          <w:color w:val="000000"/>
          <w:sz w:val="32"/>
          <w:szCs w:val="32"/>
          <w:lang w:eastAsia="en-AU"/>
        </w:rPr>
        <w:t>)</w:t>
      </w:r>
    </w:p>
    <w:p w:rsidR="00F467F6" w:rsidRPr="00F50D16" w:rsidRDefault="00F467F6" w:rsidP="006E0FBB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6E0FBB" w:rsidRPr="008C7C50" w:rsidRDefault="006E0FBB" w:rsidP="006E0FBB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 w:rsidRPr="008C7C50">
        <w:rPr>
          <w:rFonts w:ascii="Arial" w:hAnsi="Arial" w:cs="Arial"/>
          <w:b/>
          <w:sz w:val="28"/>
          <w:szCs w:val="28"/>
        </w:rPr>
        <w:t>Australia</w:t>
      </w:r>
    </w:p>
    <w:p w:rsidR="00993A01" w:rsidRDefault="00993A01" w:rsidP="006E0FBB">
      <w:pPr>
        <w:spacing w:after="0"/>
        <w:jc w:val="center"/>
        <w:rPr>
          <w:rFonts w:ascii="Arial" w:hAnsi="Arial" w:cs="Arial"/>
          <w:b/>
          <w:sz w:val="32"/>
          <w:szCs w:val="32"/>
        </w:rPr>
      </w:pPr>
    </w:p>
    <w:p w:rsidR="005D2C2E" w:rsidRDefault="00993A01" w:rsidP="009D5E4B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  <w:r w:rsidRPr="008C7C50">
        <w:rPr>
          <w:rFonts w:ascii="Arial" w:hAnsi="Arial" w:cs="Arial"/>
          <w:b/>
          <w:sz w:val="24"/>
          <w:szCs w:val="24"/>
        </w:rPr>
        <w:t xml:space="preserve">Place of </w:t>
      </w:r>
      <w:r w:rsidR="00051077" w:rsidRPr="008C7C50">
        <w:rPr>
          <w:rFonts w:ascii="Arial" w:hAnsi="Arial" w:cs="Arial"/>
          <w:b/>
          <w:sz w:val="24"/>
          <w:szCs w:val="24"/>
        </w:rPr>
        <w:t>U</w:t>
      </w:r>
      <w:r w:rsidRPr="008C7C50">
        <w:rPr>
          <w:rFonts w:ascii="Arial" w:hAnsi="Arial" w:cs="Arial"/>
          <w:b/>
          <w:sz w:val="24"/>
          <w:szCs w:val="24"/>
        </w:rPr>
        <w:t xml:space="preserve">sual </w:t>
      </w:r>
      <w:r w:rsidR="00051077" w:rsidRPr="008C7C50">
        <w:rPr>
          <w:rFonts w:ascii="Arial" w:hAnsi="Arial" w:cs="Arial"/>
          <w:b/>
          <w:sz w:val="24"/>
          <w:szCs w:val="24"/>
        </w:rPr>
        <w:t>R</w:t>
      </w:r>
      <w:r w:rsidRPr="008C7C50">
        <w:rPr>
          <w:rFonts w:ascii="Arial" w:hAnsi="Arial" w:cs="Arial"/>
          <w:b/>
          <w:sz w:val="24"/>
          <w:szCs w:val="24"/>
        </w:rPr>
        <w:t xml:space="preserve">esidence </w:t>
      </w:r>
      <w:r w:rsidR="00051077" w:rsidRPr="008C7C50">
        <w:rPr>
          <w:rFonts w:ascii="Arial" w:hAnsi="Arial" w:cs="Arial"/>
          <w:b/>
          <w:sz w:val="24"/>
          <w:szCs w:val="24"/>
        </w:rPr>
        <w:t>one</w:t>
      </w:r>
      <w:r w:rsidRPr="008C7C50">
        <w:rPr>
          <w:rFonts w:ascii="Arial" w:hAnsi="Arial" w:cs="Arial"/>
          <w:b/>
          <w:sz w:val="24"/>
          <w:szCs w:val="24"/>
        </w:rPr>
        <w:t xml:space="preserve"> year ago </w:t>
      </w:r>
      <w:r w:rsidRPr="008C7C50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(all persons, excluding </w:t>
      </w:r>
      <w:r w:rsidR="00C84CA0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br/>
      </w:r>
      <w:r w:rsidRPr="008C7C50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persons aged under </w:t>
      </w:r>
      <w:r w:rsidR="00051077" w:rsidRPr="008C7C50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one</w:t>
      </w:r>
      <w:r w:rsidRPr="008C7C50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year)</w:t>
      </w:r>
    </w:p>
    <w:p w:rsidR="009D5E4B" w:rsidRPr="009D5E4B" w:rsidRDefault="009D5E4B" w:rsidP="009D5E4B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</w:p>
    <w:tbl>
      <w:tblPr>
        <w:tblStyle w:val="TableGrid"/>
        <w:tblW w:w="6794" w:type="dxa"/>
        <w:jc w:val="center"/>
        <w:tblInd w:w="-1157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393"/>
        <w:gridCol w:w="2274"/>
        <w:gridCol w:w="2127"/>
      </w:tblGrid>
      <w:tr w:rsidR="00993A01" w:rsidRPr="002E42CC" w:rsidTr="00696A94">
        <w:trPr>
          <w:jc w:val="center"/>
        </w:trPr>
        <w:tc>
          <w:tcPr>
            <w:tcW w:w="239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993A01" w:rsidRPr="002E42CC" w:rsidRDefault="00993A01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4" w:type="dxa"/>
            <w:shd w:val="clear" w:color="auto" w:fill="548DD4" w:themeFill="text2" w:themeFillTint="99"/>
            <w:vAlign w:val="bottom"/>
          </w:tcPr>
          <w:p w:rsidR="00993A01" w:rsidRPr="00140DF9" w:rsidRDefault="00993A01" w:rsidP="00696A94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127" w:type="dxa"/>
            <w:shd w:val="clear" w:color="auto" w:fill="548DD4" w:themeFill="text2" w:themeFillTint="99"/>
            <w:vAlign w:val="bottom"/>
          </w:tcPr>
          <w:p w:rsidR="00993A01" w:rsidRPr="00140DF9" w:rsidRDefault="00993A01" w:rsidP="00696A94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993A01" w:rsidRPr="002E42CC" w:rsidTr="00696A94">
        <w:trPr>
          <w:jc w:val="center"/>
        </w:trPr>
        <w:tc>
          <w:tcPr>
            <w:tcW w:w="2393" w:type="dxa"/>
            <w:shd w:val="clear" w:color="auto" w:fill="8DB3E2" w:themeFill="text2" w:themeFillTint="66"/>
            <w:vAlign w:val="bottom"/>
          </w:tcPr>
          <w:p w:rsidR="00993A01" w:rsidRPr="007139A3" w:rsidRDefault="00993A01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Same Address</w:t>
            </w:r>
          </w:p>
        </w:tc>
        <w:tc>
          <w:tcPr>
            <w:tcW w:w="2274" w:type="dxa"/>
            <w:shd w:val="clear" w:color="auto" w:fill="C6D9F1" w:themeFill="text2" w:themeFillTint="33"/>
            <w:vAlign w:val="bottom"/>
          </w:tcPr>
          <w:p w:rsidR="00993A01" w:rsidRPr="00D96A8E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16,946,446 (84.1%)</w:t>
            </w:r>
          </w:p>
        </w:tc>
        <w:tc>
          <w:tcPr>
            <w:tcW w:w="2127" w:type="dxa"/>
            <w:shd w:val="clear" w:color="auto" w:fill="C6D9F1" w:themeFill="text2" w:themeFillTint="33"/>
            <w:vAlign w:val="bottom"/>
          </w:tcPr>
          <w:p w:rsidR="00993A01" w:rsidRPr="00D96A8E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15,345,571 (83.2%)</w:t>
            </w:r>
          </w:p>
        </w:tc>
      </w:tr>
      <w:tr w:rsidR="00993A01" w:rsidRPr="002E42CC" w:rsidTr="00696A94">
        <w:trPr>
          <w:jc w:val="center"/>
        </w:trPr>
        <w:tc>
          <w:tcPr>
            <w:tcW w:w="2393" w:type="dxa"/>
            <w:shd w:val="clear" w:color="auto" w:fill="8DB3E2" w:themeFill="text2" w:themeFillTint="66"/>
            <w:vAlign w:val="bottom"/>
          </w:tcPr>
          <w:p w:rsidR="00993A01" w:rsidRPr="007139A3" w:rsidRDefault="00993A01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Elsewhere in Australia</w:t>
            </w:r>
          </w:p>
        </w:tc>
        <w:tc>
          <w:tcPr>
            <w:tcW w:w="2274" w:type="dxa"/>
            <w:shd w:val="clear" w:color="auto" w:fill="C6D9F1" w:themeFill="text2" w:themeFillTint="33"/>
            <w:vAlign w:val="bottom"/>
          </w:tcPr>
          <w:p w:rsidR="00993A01" w:rsidRPr="00D96A8E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2,855,692 (14.2%)</w:t>
            </w:r>
          </w:p>
        </w:tc>
        <w:tc>
          <w:tcPr>
            <w:tcW w:w="2127" w:type="dxa"/>
            <w:shd w:val="clear" w:color="auto" w:fill="C6D9F1" w:themeFill="text2" w:themeFillTint="33"/>
            <w:vAlign w:val="bottom"/>
          </w:tcPr>
          <w:p w:rsidR="00993A01" w:rsidRPr="00D96A8E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2,781,981 (15.1%)</w:t>
            </w:r>
          </w:p>
        </w:tc>
      </w:tr>
      <w:tr w:rsidR="00993A01" w:rsidRPr="002E42CC" w:rsidTr="00696A94">
        <w:trPr>
          <w:jc w:val="center"/>
        </w:trPr>
        <w:tc>
          <w:tcPr>
            <w:tcW w:w="2393" w:type="dxa"/>
            <w:shd w:val="clear" w:color="auto" w:fill="8DB3E2" w:themeFill="text2" w:themeFillTint="66"/>
            <w:vAlign w:val="bottom"/>
          </w:tcPr>
          <w:p w:rsidR="00993A01" w:rsidRPr="00D413DF" w:rsidRDefault="00993A01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274" w:type="dxa"/>
            <w:shd w:val="clear" w:color="auto" w:fill="C6D9F1" w:themeFill="text2" w:themeFillTint="33"/>
            <w:vAlign w:val="bottom"/>
          </w:tcPr>
          <w:p w:rsidR="00993A01" w:rsidRPr="00D96A8E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312,204 (1.5%)</w:t>
            </w:r>
          </w:p>
        </w:tc>
        <w:tc>
          <w:tcPr>
            <w:tcW w:w="2127" w:type="dxa"/>
            <w:shd w:val="clear" w:color="auto" w:fill="C6D9F1" w:themeFill="text2" w:themeFillTint="33"/>
            <w:vAlign w:val="bottom"/>
          </w:tcPr>
          <w:p w:rsidR="00993A01" w:rsidRPr="00D96A8E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280,738 (1.5%)</w:t>
            </w:r>
          </w:p>
        </w:tc>
      </w:tr>
      <w:tr w:rsidR="00993A01" w:rsidRPr="002E42CC" w:rsidTr="00696A94">
        <w:trPr>
          <w:jc w:val="center"/>
        </w:trPr>
        <w:tc>
          <w:tcPr>
            <w:tcW w:w="2393" w:type="dxa"/>
            <w:shd w:val="clear" w:color="auto" w:fill="8DB3E2" w:themeFill="text2" w:themeFillTint="66"/>
            <w:vAlign w:val="bottom"/>
          </w:tcPr>
          <w:p w:rsidR="00993A01" w:rsidRDefault="00993A01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274" w:type="dxa"/>
            <w:shd w:val="clear" w:color="auto" w:fill="C6D9F1" w:themeFill="text2" w:themeFillTint="33"/>
            <w:vAlign w:val="bottom"/>
          </w:tcPr>
          <w:p w:rsidR="00993A01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20,150,330 (100%)</w:t>
            </w:r>
          </w:p>
        </w:tc>
        <w:tc>
          <w:tcPr>
            <w:tcW w:w="2127" w:type="dxa"/>
            <w:shd w:val="clear" w:color="auto" w:fill="C6D9F1" w:themeFill="text2" w:themeFillTint="33"/>
            <w:vAlign w:val="bottom"/>
          </w:tcPr>
          <w:p w:rsidR="00993A01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18,438,694 (100.0%)</w:t>
            </w:r>
          </w:p>
        </w:tc>
      </w:tr>
    </w:tbl>
    <w:p w:rsidR="00F467F6" w:rsidRDefault="00F467F6" w:rsidP="00F467F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50D16" w:rsidRPr="00051077" w:rsidRDefault="00993A01" w:rsidP="00993A01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EB288B">
        <w:rPr>
          <w:rFonts w:ascii="Arial" w:hAnsi="Arial" w:cs="Arial"/>
          <w:b/>
          <w:bCs/>
          <w:color w:val="4181C0"/>
          <w:sz w:val="18"/>
          <w:szCs w:val="18"/>
        </w:rPr>
        <w:t>Most Australians did not move in the year prior to the 2011 Census, with 84.1% reporting that they had not moved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This</w:t>
      </w:r>
      <w:r w:rsidRPr="00EB288B">
        <w:rPr>
          <w:rFonts w:ascii="Arial" w:hAnsi="Arial" w:cs="Arial"/>
          <w:b/>
          <w:bCs/>
          <w:color w:val="4181C0"/>
          <w:sz w:val="18"/>
          <w:szCs w:val="18"/>
        </w:rPr>
        <w:t xml:space="preserve"> compared to 14.2% who had moved and 1.5% who were either recent migrants or Austr</w:t>
      </w:r>
      <w:r>
        <w:rPr>
          <w:rFonts w:ascii="Arial" w:hAnsi="Arial" w:cs="Arial"/>
          <w:b/>
          <w:bCs/>
          <w:color w:val="4181C0"/>
          <w:sz w:val="18"/>
          <w:szCs w:val="18"/>
        </w:rPr>
        <w:t>alians returning from overseas.</w:t>
      </w:r>
    </w:p>
    <w:p w:rsidR="00F50D16" w:rsidRDefault="00F50D16" w:rsidP="00F50D16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F50D16" w:rsidRPr="008C7C50" w:rsidRDefault="00993A01" w:rsidP="00993A01">
      <w:pPr>
        <w:spacing w:after="0"/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  <w:r w:rsidRPr="008C7C50">
        <w:rPr>
          <w:rFonts w:ascii="Arial" w:hAnsi="Arial" w:cs="Arial"/>
          <w:b/>
          <w:sz w:val="24"/>
          <w:szCs w:val="24"/>
        </w:rPr>
        <w:t xml:space="preserve">Place of </w:t>
      </w:r>
      <w:r w:rsidR="00051077" w:rsidRPr="008C7C50">
        <w:rPr>
          <w:rFonts w:ascii="Arial" w:hAnsi="Arial" w:cs="Arial"/>
          <w:b/>
          <w:sz w:val="24"/>
          <w:szCs w:val="24"/>
        </w:rPr>
        <w:t>U</w:t>
      </w:r>
      <w:r w:rsidRPr="008C7C50">
        <w:rPr>
          <w:rFonts w:ascii="Arial" w:hAnsi="Arial" w:cs="Arial"/>
          <w:b/>
          <w:sz w:val="24"/>
          <w:szCs w:val="24"/>
        </w:rPr>
        <w:t xml:space="preserve">sual </w:t>
      </w:r>
      <w:r w:rsidR="00051077" w:rsidRPr="008C7C50">
        <w:rPr>
          <w:rFonts w:ascii="Arial" w:hAnsi="Arial" w:cs="Arial"/>
          <w:b/>
          <w:sz w:val="24"/>
          <w:szCs w:val="24"/>
        </w:rPr>
        <w:t>R</w:t>
      </w:r>
      <w:r w:rsidRPr="008C7C50">
        <w:rPr>
          <w:rFonts w:ascii="Arial" w:hAnsi="Arial" w:cs="Arial"/>
          <w:b/>
          <w:sz w:val="24"/>
          <w:szCs w:val="24"/>
        </w:rPr>
        <w:t xml:space="preserve">esidence </w:t>
      </w:r>
      <w:r w:rsidR="00051077" w:rsidRPr="008C7C50">
        <w:rPr>
          <w:rFonts w:ascii="Arial" w:hAnsi="Arial" w:cs="Arial"/>
          <w:b/>
          <w:sz w:val="24"/>
          <w:szCs w:val="24"/>
        </w:rPr>
        <w:t>five</w:t>
      </w:r>
      <w:r w:rsidRPr="008C7C50">
        <w:rPr>
          <w:rFonts w:ascii="Arial" w:hAnsi="Arial" w:cs="Arial"/>
          <w:b/>
          <w:sz w:val="24"/>
          <w:szCs w:val="24"/>
        </w:rPr>
        <w:t xml:space="preserve"> years ago</w:t>
      </w:r>
      <w:r w:rsidR="00F50D16" w:rsidRPr="008C7C50">
        <w:rPr>
          <w:rFonts w:ascii="Arial" w:hAnsi="Arial" w:cs="Arial"/>
          <w:b/>
          <w:sz w:val="24"/>
          <w:szCs w:val="24"/>
        </w:rPr>
        <w:t xml:space="preserve"> </w:t>
      </w:r>
      <w:r w:rsidRPr="008C7C50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(all persons, excluding </w:t>
      </w:r>
      <w:r w:rsidR="00C84CA0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br/>
      </w:r>
      <w:r w:rsidRPr="008C7C50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persons aged under </w:t>
      </w:r>
      <w:r w:rsidR="00051077" w:rsidRPr="008C7C50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five</w:t>
      </w:r>
      <w:r w:rsidRPr="008C7C50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years</w:t>
      </w:r>
      <w:r w:rsidR="00F50D16" w:rsidRPr="008C7C50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)</w:t>
      </w:r>
    </w:p>
    <w:p w:rsidR="00993A01" w:rsidRPr="00696A94" w:rsidRDefault="00993A01" w:rsidP="00696A94">
      <w:pPr>
        <w:spacing w:after="0"/>
        <w:rPr>
          <w:rFonts w:ascii="Arial" w:hAnsi="Arial" w:cs="Arial"/>
          <w:b/>
          <w:sz w:val="16"/>
          <w:szCs w:val="16"/>
          <w:u w:val="single"/>
        </w:rPr>
      </w:pPr>
    </w:p>
    <w:tbl>
      <w:tblPr>
        <w:tblStyle w:val="TableGrid"/>
        <w:tblW w:w="6724" w:type="dxa"/>
        <w:jc w:val="center"/>
        <w:tblInd w:w="-1087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2323"/>
        <w:gridCol w:w="2274"/>
        <w:gridCol w:w="2127"/>
      </w:tblGrid>
      <w:tr w:rsidR="00993A01" w:rsidRPr="00140DF9" w:rsidTr="00696A94">
        <w:trPr>
          <w:jc w:val="center"/>
        </w:trPr>
        <w:tc>
          <w:tcPr>
            <w:tcW w:w="232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993A01" w:rsidRPr="002E42CC" w:rsidRDefault="00993A01" w:rsidP="00993A0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274" w:type="dxa"/>
            <w:shd w:val="clear" w:color="auto" w:fill="548DD4" w:themeFill="text2" w:themeFillTint="99"/>
            <w:vAlign w:val="bottom"/>
          </w:tcPr>
          <w:p w:rsidR="00993A01" w:rsidRPr="00140DF9" w:rsidRDefault="00993A01" w:rsidP="00696A94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127" w:type="dxa"/>
            <w:shd w:val="clear" w:color="auto" w:fill="548DD4" w:themeFill="text2" w:themeFillTint="99"/>
            <w:vAlign w:val="bottom"/>
          </w:tcPr>
          <w:p w:rsidR="00993A01" w:rsidRPr="00140DF9" w:rsidRDefault="00993A01" w:rsidP="00696A94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993A01" w:rsidRPr="00D96A8E" w:rsidTr="00696A94">
        <w:trPr>
          <w:jc w:val="center"/>
        </w:trPr>
        <w:tc>
          <w:tcPr>
            <w:tcW w:w="2323" w:type="dxa"/>
            <w:shd w:val="clear" w:color="auto" w:fill="8DB3E2" w:themeFill="text2" w:themeFillTint="66"/>
            <w:vAlign w:val="bottom"/>
          </w:tcPr>
          <w:p w:rsidR="00993A01" w:rsidRPr="007139A3" w:rsidRDefault="00993A01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Same Address</w:t>
            </w:r>
          </w:p>
        </w:tc>
        <w:tc>
          <w:tcPr>
            <w:tcW w:w="2274" w:type="dxa"/>
            <w:shd w:val="clear" w:color="auto" w:fill="C6D9F1" w:themeFill="text2" w:themeFillTint="33"/>
            <w:vAlign w:val="bottom"/>
          </w:tcPr>
          <w:p w:rsidR="00993A01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11,009,843 (58.3%)</w:t>
            </w:r>
          </w:p>
        </w:tc>
        <w:tc>
          <w:tcPr>
            <w:tcW w:w="2127" w:type="dxa"/>
            <w:shd w:val="clear" w:color="auto" w:fill="C6D9F1" w:themeFill="text2" w:themeFillTint="33"/>
            <w:vAlign w:val="bottom"/>
          </w:tcPr>
          <w:p w:rsidR="00993A01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9,841,426 (56.9%)</w:t>
            </w:r>
          </w:p>
        </w:tc>
      </w:tr>
      <w:tr w:rsidR="00993A01" w:rsidRPr="00D96A8E" w:rsidTr="00696A94">
        <w:trPr>
          <w:jc w:val="center"/>
        </w:trPr>
        <w:tc>
          <w:tcPr>
            <w:tcW w:w="2323" w:type="dxa"/>
            <w:shd w:val="clear" w:color="auto" w:fill="8DB3E2" w:themeFill="text2" w:themeFillTint="66"/>
            <w:vAlign w:val="bottom"/>
          </w:tcPr>
          <w:p w:rsidR="00993A01" w:rsidRPr="007139A3" w:rsidRDefault="00993A01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Elsewhere in Australia</w:t>
            </w:r>
          </w:p>
        </w:tc>
        <w:tc>
          <w:tcPr>
            <w:tcW w:w="2274" w:type="dxa"/>
            <w:shd w:val="clear" w:color="auto" w:fill="C6D9F1" w:themeFill="text2" w:themeFillTint="33"/>
            <w:vAlign w:val="bottom"/>
          </w:tcPr>
          <w:p w:rsidR="00993A01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6,577,266 (34.8%)</w:t>
            </w:r>
          </w:p>
        </w:tc>
        <w:tc>
          <w:tcPr>
            <w:tcW w:w="2127" w:type="dxa"/>
            <w:shd w:val="clear" w:color="auto" w:fill="C6D9F1" w:themeFill="text2" w:themeFillTint="33"/>
            <w:vAlign w:val="bottom"/>
          </w:tcPr>
          <w:p w:rsidR="00993A01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6,549,508 (37.9%)</w:t>
            </w:r>
          </w:p>
        </w:tc>
      </w:tr>
      <w:tr w:rsidR="00993A01" w:rsidRPr="00D96A8E" w:rsidTr="00696A94">
        <w:trPr>
          <w:jc w:val="center"/>
        </w:trPr>
        <w:tc>
          <w:tcPr>
            <w:tcW w:w="2323" w:type="dxa"/>
            <w:shd w:val="clear" w:color="auto" w:fill="8DB3E2" w:themeFill="text2" w:themeFillTint="66"/>
            <w:vAlign w:val="bottom"/>
          </w:tcPr>
          <w:p w:rsidR="00993A01" w:rsidRPr="00D413DF" w:rsidRDefault="00993A01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274" w:type="dxa"/>
            <w:shd w:val="clear" w:color="auto" w:fill="C6D9F1" w:themeFill="text2" w:themeFillTint="33"/>
            <w:vAlign w:val="bottom"/>
          </w:tcPr>
          <w:p w:rsidR="00993A01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1,200,438 (6.4%)</w:t>
            </w:r>
          </w:p>
        </w:tc>
        <w:tc>
          <w:tcPr>
            <w:tcW w:w="2127" w:type="dxa"/>
            <w:shd w:val="clear" w:color="auto" w:fill="C6D9F1" w:themeFill="text2" w:themeFillTint="33"/>
            <w:vAlign w:val="bottom"/>
          </w:tcPr>
          <w:p w:rsidR="00993A01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822,516 (4.8%)</w:t>
            </w:r>
          </w:p>
        </w:tc>
      </w:tr>
      <w:tr w:rsidR="00993A01" w:rsidTr="00696A94">
        <w:trPr>
          <w:jc w:val="center"/>
        </w:trPr>
        <w:tc>
          <w:tcPr>
            <w:tcW w:w="2323" w:type="dxa"/>
            <w:shd w:val="clear" w:color="auto" w:fill="8DB3E2" w:themeFill="text2" w:themeFillTint="66"/>
            <w:vAlign w:val="bottom"/>
          </w:tcPr>
          <w:p w:rsidR="00993A01" w:rsidRDefault="00993A01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274" w:type="dxa"/>
            <w:shd w:val="clear" w:color="auto" w:fill="C6D9F1" w:themeFill="text2" w:themeFillTint="33"/>
            <w:vAlign w:val="bottom"/>
          </w:tcPr>
          <w:p w:rsidR="00993A01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 880, 540 (100%)</w:t>
            </w:r>
          </w:p>
        </w:tc>
        <w:tc>
          <w:tcPr>
            <w:tcW w:w="2127" w:type="dxa"/>
            <w:shd w:val="clear" w:color="auto" w:fill="C6D9F1" w:themeFill="text2" w:themeFillTint="33"/>
            <w:vAlign w:val="bottom"/>
          </w:tcPr>
          <w:p w:rsidR="00993A01" w:rsidRDefault="00993A01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17,296,787 (100.0%)</w:t>
            </w:r>
          </w:p>
        </w:tc>
      </w:tr>
    </w:tbl>
    <w:p w:rsidR="00993A01" w:rsidRPr="00993A01" w:rsidRDefault="00993A01" w:rsidP="00993A01">
      <w:pPr>
        <w:pStyle w:val="ListParagraph"/>
        <w:ind w:left="719"/>
        <w:rPr>
          <w:rFonts w:ascii="Arial" w:hAnsi="Arial" w:cs="Arial"/>
          <w:b/>
        </w:rPr>
      </w:pPr>
    </w:p>
    <w:p w:rsidR="00993A01" w:rsidRPr="00051077" w:rsidRDefault="00993A01" w:rsidP="00993A01">
      <w:pPr>
        <w:pStyle w:val="ListParagraph"/>
        <w:numPr>
          <w:ilvl w:val="0"/>
          <w:numId w:val="6"/>
        </w:numPr>
        <w:rPr>
          <w:rFonts w:ascii="Arial" w:hAnsi="Arial" w:cs="Arial"/>
          <w:b/>
          <w:bCs/>
          <w:color w:val="4181C0"/>
          <w:sz w:val="18"/>
          <w:szCs w:val="18"/>
        </w:rPr>
      </w:pPr>
      <w:r w:rsidRPr="006C4ED6">
        <w:rPr>
          <w:rFonts w:ascii="Arial" w:hAnsi="Arial" w:cs="Arial"/>
          <w:b/>
          <w:bCs/>
          <w:color w:val="4181C0"/>
          <w:sz w:val="18"/>
          <w:szCs w:val="18"/>
        </w:rPr>
        <w:t xml:space="preserve">More than half of Australians did not move in the five years prior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2011 </w:t>
      </w:r>
      <w:r w:rsidRPr="006C4ED6">
        <w:rPr>
          <w:rFonts w:ascii="Arial" w:hAnsi="Arial" w:cs="Arial"/>
          <w:b/>
          <w:bCs/>
          <w:color w:val="4181C0"/>
          <w:sz w:val="18"/>
          <w:szCs w:val="18"/>
        </w:rPr>
        <w:t>Census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6C4ED6">
        <w:rPr>
          <w:rFonts w:ascii="Arial" w:hAnsi="Arial" w:cs="Arial"/>
          <w:b/>
          <w:bCs/>
          <w:color w:val="4181C0"/>
          <w:sz w:val="18"/>
          <w:szCs w:val="18"/>
        </w:rPr>
        <w:t xml:space="preserve"> with </w:t>
      </w:r>
      <w:r>
        <w:rPr>
          <w:rFonts w:ascii="Arial" w:hAnsi="Arial" w:cs="Arial"/>
          <w:b/>
          <w:bCs/>
          <w:color w:val="4181C0"/>
          <w:sz w:val="18"/>
          <w:szCs w:val="18"/>
        </w:rPr>
        <w:t>58.3</w:t>
      </w:r>
      <w:r w:rsidRPr="006C4ED6">
        <w:rPr>
          <w:rFonts w:ascii="Arial" w:hAnsi="Arial" w:cs="Arial"/>
          <w:b/>
          <w:bCs/>
          <w:color w:val="4181C0"/>
          <w:sz w:val="18"/>
          <w:szCs w:val="18"/>
        </w:rPr>
        <w:t>% reporting that they had not moved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This</w:t>
      </w:r>
      <w:r w:rsidRPr="006C4ED6">
        <w:rPr>
          <w:rFonts w:ascii="Arial" w:hAnsi="Arial" w:cs="Arial"/>
          <w:b/>
          <w:bCs/>
          <w:color w:val="4181C0"/>
          <w:sz w:val="18"/>
          <w:szCs w:val="18"/>
        </w:rPr>
        <w:t xml:space="preserve"> compared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34.8</w:t>
      </w:r>
      <w:r w:rsidRPr="006C4ED6">
        <w:rPr>
          <w:rFonts w:ascii="Arial" w:hAnsi="Arial" w:cs="Arial"/>
          <w:b/>
          <w:bCs/>
          <w:color w:val="4181C0"/>
          <w:sz w:val="18"/>
          <w:szCs w:val="18"/>
        </w:rPr>
        <w:t xml:space="preserve">% who had moved and </w:t>
      </w:r>
      <w:r>
        <w:rPr>
          <w:rFonts w:ascii="Arial" w:hAnsi="Arial" w:cs="Arial"/>
          <w:b/>
          <w:bCs/>
          <w:color w:val="4181C0"/>
          <w:sz w:val="18"/>
          <w:szCs w:val="18"/>
        </w:rPr>
        <w:t>6.4</w:t>
      </w:r>
      <w:r w:rsidRPr="006C4ED6">
        <w:rPr>
          <w:rFonts w:ascii="Arial" w:hAnsi="Arial" w:cs="Arial"/>
          <w:b/>
          <w:bCs/>
          <w:color w:val="4181C0"/>
          <w:sz w:val="18"/>
          <w:szCs w:val="18"/>
        </w:rPr>
        <w:t>% who were either recent migrants or Australians returning from overseas.</w:t>
      </w:r>
    </w:p>
    <w:p w:rsidR="00F50D16" w:rsidRDefault="00F50D16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993A01" w:rsidRDefault="00993A01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993A01" w:rsidRDefault="00993A01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494200" w:rsidRDefault="00494200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494200" w:rsidRDefault="00494200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07719F" w:rsidRDefault="0007719F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494200" w:rsidRDefault="00494200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494200" w:rsidRDefault="00494200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494200" w:rsidRDefault="00494200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0F1681" w:rsidRDefault="000F1681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993A01" w:rsidRDefault="00993A01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993A01" w:rsidRDefault="00993A01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8C7C50" w:rsidRDefault="008C7C50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9D5E4B" w:rsidRPr="00F50D16" w:rsidRDefault="009D5E4B" w:rsidP="00993A01">
      <w:pPr>
        <w:spacing w:after="0"/>
        <w:rPr>
          <w:rFonts w:ascii="Arial" w:hAnsi="Arial" w:cs="Arial"/>
          <w:b/>
          <w:sz w:val="24"/>
          <w:szCs w:val="24"/>
        </w:rPr>
      </w:pPr>
    </w:p>
    <w:p w:rsidR="00506578" w:rsidRDefault="00506578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94200" w:rsidRDefault="00494200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Place of </w:t>
      </w:r>
      <w:r w:rsidR="00051077">
        <w:rPr>
          <w:rFonts w:ascii="Arial" w:hAnsi="Arial" w:cs="Arial"/>
          <w:b/>
          <w:sz w:val="32"/>
          <w:szCs w:val="32"/>
        </w:rPr>
        <w:t>U</w:t>
      </w:r>
      <w:r>
        <w:rPr>
          <w:rFonts w:ascii="Arial" w:hAnsi="Arial" w:cs="Arial"/>
          <w:b/>
          <w:sz w:val="32"/>
          <w:szCs w:val="32"/>
        </w:rPr>
        <w:t xml:space="preserve">sual </w:t>
      </w:r>
      <w:r w:rsidR="00051077">
        <w:rPr>
          <w:rFonts w:ascii="Arial" w:hAnsi="Arial" w:cs="Arial"/>
          <w:b/>
          <w:sz w:val="32"/>
          <w:szCs w:val="32"/>
        </w:rPr>
        <w:t>R</w:t>
      </w:r>
      <w:r>
        <w:rPr>
          <w:rFonts w:ascii="Arial" w:hAnsi="Arial" w:cs="Arial"/>
          <w:b/>
          <w:sz w:val="32"/>
          <w:szCs w:val="32"/>
        </w:rPr>
        <w:t>esidence (all persons who moved)</w:t>
      </w:r>
    </w:p>
    <w:p w:rsidR="00494200" w:rsidRDefault="00494200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FD5EBF" w:rsidRPr="008C7C50" w:rsidRDefault="00FD5EBF" w:rsidP="00494200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7C50">
        <w:rPr>
          <w:rFonts w:ascii="Arial" w:hAnsi="Arial" w:cs="Arial"/>
          <w:b/>
          <w:sz w:val="28"/>
          <w:szCs w:val="28"/>
        </w:rPr>
        <w:t>States and Territories</w:t>
      </w:r>
    </w:p>
    <w:p w:rsidR="00494200" w:rsidRDefault="00494200" w:rsidP="00FD5EBF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94200" w:rsidRDefault="00494200" w:rsidP="00FD5EBF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C7C50">
        <w:rPr>
          <w:rFonts w:ascii="Arial" w:hAnsi="Arial" w:cs="Arial"/>
          <w:b/>
          <w:sz w:val="24"/>
          <w:szCs w:val="24"/>
        </w:rPr>
        <w:t xml:space="preserve">Place of </w:t>
      </w:r>
      <w:r w:rsidR="00051077" w:rsidRPr="008C7C50">
        <w:rPr>
          <w:rFonts w:ascii="Arial" w:hAnsi="Arial" w:cs="Arial"/>
          <w:b/>
          <w:sz w:val="24"/>
          <w:szCs w:val="24"/>
        </w:rPr>
        <w:t>U</w:t>
      </w:r>
      <w:r w:rsidRPr="008C7C50">
        <w:rPr>
          <w:rFonts w:ascii="Arial" w:hAnsi="Arial" w:cs="Arial"/>
          <w:b/>
          <w:sz w:val="24"/>
          <w:szCs w:val="24"/>
        </w:rPr>
        <w:t xml:space="preserve">sual </w:t>
      </w:r>
      <w:r w:rsidR="00051077" w:rsidRPr="008C7C50">
        <w:rPr>
          <w:rFonts w:ascii="Arial" w:hAnsi="Arial" w:cs="Arial"/>
          <w:b/>
          <w:sz w:val="24"/>
          <w:szCs w:val="24"/>
        </w:rPr>
        <w:t>R</w:t>
      </w:r>
      <w:r w:rsidRPr="008C7C50">
        <w:rPr>
          <w:rFonts w:ascii="Arial" w:hAnsi="Arial" w:cs="Arial"/>
          <w:b/>
          <w:sz w:val="24"/>
          <w:szCs w:val="24"/>
        </w:rPr>
        <w:t xml:space="preserve">esidence </w:t>
      </w:r>
      <w:r w:rsidR="00051077" w:rsidRPr="008C7C50">
        <w:rPr>
          <w:rFonts w:ascii="Arial" w:hAnsi="Arial" w:cs="Arial"/>
          <w:b/>
          <w:sz w:val="24"/>
          <w:szCs w:val="24"/>
        </w:rPr>
        <w:t>one</w:t>
      </w:r>
      <w:r w:rsidRPr="008C7C50">
        <w:rPr>
          <w:rFonts w:ascii="Arial" w:hAnsi="Arial" w:cs="Arial"/>
          <w:b/>
          <w:sz w:val="24"/>
          <w:szCs w:val="24"/>
        </w:rPr>
        <w:t xml:space="preserve"> year ago (all persons who moved, excluding persons aged under </w:t>
      </w:r>
      <w:r w:rsidR="00051077" w:rsidRPr="008C7C50">
        <w:rPr>
          <w:rFonts w:ascii="Arial" w:hAnsi="Arial" w:cs="Arial"/>
          <w:b/>
          <w:sz w:val="24"/>
          <w:szCs w:val="24"/>
        </w:rPr>
        <w:t>one</w:t>
      </w:r>
      <w:r w:rsidRPr="008C7C50">
        <w:rPr>
          <w:rFonts w:ascii="Arial" w:hAnsi="Arial" w:cs="Arial"/>
          <w:b/>
          <w:sz w:val="24"/>
          <w:szCs w:val="24"/>
        </w:rPr>
        <w:t xml:space="preserve"> year)</w:t>
      </w:r>
    </w:p>
    <w:p w:rsidR="00696A94" w:rsidRDefault="00696A94" w:rsidP="00FD5EBF">
      <w:pPr>
        <w:spacing w:after="0"/>
        <w:ind w:left="360"/>
        <w:jc w:val="center"/>
        <w:rPr>
          <w:rFonts w:ascii="Arial" w:hAnsi="Arial" w:cs="Arial"/>
          <w:b/>
        </w:rPr>
      </w:pPr>
    </w:p>
    <w:p w:rsidR="005D2C2E" w:rsidRPr="00A25918" w:rsidRDefault="00696A94" w:rsidP="00696A94">
      <w:pPr>
        <w:spacing w:after="0"/>
        <w:ind w:left="357"/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</w:rPr>
        <w:t>New South Wales</w:t>
      </w:r>
    </w:p>
    <w:tbl>
      <w:tblPr>
        <w:tblStyle w:val="TableGrid"/>
        <w:tblW w:w="7327" w:type="dxa"/>
        <w:jc w:val="center"/>
        <w:tblInd w:w="-1589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70"/>
        <w:gridCol w:w="2742"/>
        <w:gridCol w:w="2715"/>
      </w:tblGrid>
      <w:tr w:rsidR="00F467F6" w:rsidRPr="002E42CC" w:rsidTr="00696A94">
        <w:trPr>
          <w:trHeight w:val="269"/>
          <w:jc w:val="center"/>
        </w:trPr>
        <w:tc>
          <w:tcPr>
            <w:tcW w:w="187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F467F6" w:rsidRPr="002E42CC" w:rsidRDefault="00F467F6" w:rsidP="00F467F6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bottom"/>
          </w:tcPr>
          <w:p w:rsidR="00F467F6" w:rsidRDefault="00F467F6" w:rsidP="00696A9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bottom"/>
          </w:tcPr>
          <w:p w:rsidR="00F467F6" w:rsidRDefault="00F467F6" w:rsidP="00696A9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494200" w:rsidRPr="002E42CC" w:rsidTr="00696A94">
        <w:trPr>
          <w:trHeight w:val="213"/>
          <w:jc w:val="center"/>
        </w:trPr>
        <w:tc>
          <w:tcPr>
            <w:tcW w:w="1870" w:type="dxa"/>
            <w:shd w:val="clear" w:color="auto" w:fill="8DB3E2" w:themeFill="text2" w:themeFillTint="66"/>
            <w:vAlign w:val="bottom"/>
          </w:tcPr>
          <w:p w:rsidR="00494200" w:rsidRPr="007139A3" w:rsidRDefault="00494200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494200" w:rsidRPr="00D96A8E" w:rsidRDefault="00494200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771,843 (81.6%)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494200" w:rsidRDefault="00494200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765,776 (82.6%)</w:t>
            </w:r>
          </w:p>
        </w:tc>
      </w:tr>
      <w:tr w:rsidR="00494200" w:rsidRPr="002E42CC" w:rsidTr="00696A94">
        <w:trPr>
          <w:trHeight w:val="226"/>
          <w:jc w:val="center"/>
        </w:trPr>
        <w:tc>
          <w:tcPr>
            <w:tcW w:w="1870" w:type="dxa"/>
            <w:shd w:val="clear" w:color="auto" w:fill="8DB3E2" w:themeFill="text2" w:themeFillTint="66"/>
            <w:vAlign w:val="bottom"/>
          </w:tcPr>
          <w:p w:rsidR="00494200" w:rsidRPr="007139A3" w:rsidRDefault="00494200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494200" w:rsidRDefault="00494200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70,238 (7.4%)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494200" w:rsidRDefault="00494200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63,514 (6.9%)</w:t>
            </w:r>
          </w:p>
        </w:tc>
      </w:tr>
      <w:tr w:rsidR="00494200" w:rsidRPr="002E42CC" w:rsidTr="00696A94">
        <w:trPr>
          <w:trHeight w:val="226"/>
          <w:jc w:val="center"/>
        </w:trPr>
        <w:tc>
          <w:tcPr>
            <w:tcW w:w="1870" w:type="dxa"/>
            <w:shd w:val="clear" w:color="auto" w:fill="8DB3E2" w:themeFill="text2" w:themeFillTint="66"/>
            <w:vAlign w:val="bottom"/>
          </w:tcPr>
          <w:p w:rsidR="00494200" w:rsidRPr="00D413DF" w:rsidRDefault="00494200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494200" w:rsidRDefault="00494200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92,848 (9.8%)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494200" w:rsidRDefault="00494200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88,556 (9.6%)</w:t>
            </w:r>
          </w:p>
        </w:tc>
      </w:tr>
      <w:tr w:rsidR="00494200" w:rsidRPr="002E42CC" w:rsidTr="00696A94">
        <w:trPr>
          <w:trHeight w:val="213"/>
          <w:jc w:val="center"/>
        </w:trPr>
        <w:tc>
          <w:tcPr>
            <w:tcW w:w="1870" w:type="dxa"/>
            <w:shd w:val="clear" w:color="auto" w:fill="8DB3E2" w:themeFill="text2" w:themeFillTint="66"/>
            <w:vAlign w:val="bottom"/>
          </w:tcPr>
          <w:p w:rsidR="00494200" w:rsidRDefault="00494200" w:rsidP="00A716E7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494200" w:rsidRPr="00D96A8E" w:rsidRDefault="00494200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946,006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494200" w:rsidRDefault="00494200" w:rsidP="00A716E7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927,017 (100.0%)</w:t>
            </w:r>
          </w:p>
        </w:tc>
      </w:tr>
    </w:tbl>
    <w:p w:rsidR="00494200" w:rsidRDefault="00494200" w:rsidP="00494200"/>
    <w:p w:rsidR="00494200" w:rsidRDefault="00494200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C7C50">
        <w:rPr>
          <w:rFonts w:ascii="Arial" w:hAnsi="Arial" w:cs="Arial"/>
          <w:b/>
          <w:sz w:val="24"/>
          <w:szCs w:val="24"/>
        </w:rPr>
        <w:t xml:space="preserve">Place of </w:t>
      </w:r>
      <w:r w:rsidR="00051077" w:rsidRPr="008C7C50">
        <w:rPr>
          <w:rFonts w:ascii="Arial" w:hAnsi="Arial" w:cs="Arial"/>
          <w:b/>
          <w:sz w:val="24"/>
          <w:szCs w:val="24"/>
        </w:rPr>
        <w:t>U</w:t>
      </w:r>
      <w:r w:rsidRPr="008C7C50">
        <w:rPr>
          <w:rFonts w:ascii="Arial" w:hAnsi="Arial" w:cs="Arial"/>
          <w:b/>
          <w:sz w:val="24"/>
          <w:szCs w:val="24"/>
        </w:rPr>
        <w:t xml:space="preserve">sual </w:t>
      </w:r>
      <w:r w:rsidR="00051077" w:rsidRPr="008C7C50">
        <w:rPr>
          <w:rFonts w:ascii="Arial" w:hAnsi="Arial" w:cs="Arial"/>
          <w:b/>
          <w:sz w:val="24"/>
          <w:szCs w:val="24"/>
        </w:rPr>
        <w:t>R</w:t>
      </w:r>
      <w:r w:rsidRPr="008C7C50">
        <w:rPr>
          <w:rFonts w:ascii="Arial" w:hAnsi="Arial" w:cs="Arial"/>
          <w:b/>
          <w:sz w:val="24"/>
          <w:szCs w:val="24"/>
        </w:rPr>
        <w:t xml:space="preserve">esidence </w:t>
      </w:r>
      <w:r w:rsidR="00051077" w:rsidRPr="008C7C50">
        <w:rPr>
          <w:rFonts w:ascii="Arial" w:hAnsi="Arial" w:cs="Arial"/>
          <w:b/>
          <w:sz w:val="24"/>
          <w:szCs w:val="24"/>
        </w:rPr>
        <w:t>five</w:t>
      </w:r>
      <w:r w:rsidRPr="008C7C50">
        <w:rPr>
          <w:rFonts w:ascii="Arial" w:hAnsi="Arial" w:cs="Arial"/>
          <w:b/>
          <w:sz w:val="24"/>
          <w:szCs w:val="24"/>
        </w:rPr>
        <w:t xml:space="preserve"> years ago (all persons who moved, excluding persons aged under </w:t>
      </w:r>
      <w:r w:rsidR="00051077" w:rsidRPr="008C7C50">
        <w:rPr>
          <w:rFonts w:ascii="Arial" w:hAnsi="Arial" w:cs="Arial"/>
          <w:b/>
          <w:sz w:val="24"/>
          <w:szCs w:val="24"/>
        </w:rPr>
        <w:t>five</w:t>
      </w:r>
      <w:r w:rsidRPr="008C7C50">
        <w:rPr>
          <w:rFonts w:ascii="Arial" w:hAnsi="Arial" w:cs="Arial"/>
          <w:b/>
          <w:sz w:val="24"/>
          <w:szCs w:val="24"/>
        </w:rPr>
        <w:t xml:space="preserve"> year</w:t>
      </w:r>
      <w:r w:rsidR="00AA444C" w:rsidRPr="008C7C50">
        <w:rPr>
          <w:rFonts w:ascii="Arial" w:hAnsi="Arial" w:cs="Arial"/>
          <w:b/>
          <w:sz w:val="24"/>
          <w:szCs w:val="24"/>
        </w:rPr>
        <w:t>s</w:t>
      </w:r>
      <w:r w:rsidRPr="008C7C50">
        <w:rPr>
          <w:rFonts w:ascii="Arial" w:hAnsi="Arial" w:cs="Arial"/>
          <w:b/>
          <w:sz w:val="24"/>
          <w:szCs w:val="24"/>
        </w:rPr>
        <w:t>)</w:t>
      </w:r>
    </w:p>
    <w:p w:rsidR="00876538" w:rsidRDefault="00876538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696A94" w:rsidRDefault="00696A94" w:rsidP="00696A94">
      <w:pPr>
        <w:spacing w:after="0"/>
        <w:ind w:left="357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New South Wales</w:t>
      </w:r>
    </w:p>
    <w:tbl>
      <w:tblPr>
        <w:tblStyle w:val="TableGrid"/>
        <w:tblW w:w="7113" w:type="dxa"/>
        <w:jc w:val="center"/>
        <w:tblInd w:w="-1375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6"/>
        <w:gridCol w:w="2742"/>
        <w:gridCol w:w="2715"/>
      </w:tblGrid>
      <w:tr w:rsidR="00876538" w:rsidRPr="002E42CC" w:rsidTr="00696A94">
        <w:trPr>
          <w:trHeight w:val="269"/>
          <w:jc w:val="center"/>
        </w:trPr>
        <w:tc>
          <w:tcPr>
            <w:tcW w:w="165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76538" w:rsidRPr="002E42CC" w:rsidRDefault="00876538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bottom"/>
          </w:tcPr>
          <w:p w:rsidR="00876538" w:rsidRDefault="00876538" w:rsidP="00696A9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bottom"/>
          </w:tcPr>
          <w:p w:rsidR="00876538" w:rsidRDefault="00876538" w:rsidP="00696A9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876538" w:rsidRPr="002E42CC" w:rsidTr="00696A94">
        <w:trPr>
          <w:trHeight w:val="213"/>
          <w:jc w:val="center"/>
        </w:trPr>
        <w:tc>
          <w:tcPr>
            <w:tcW w:w="1656" w:type="dxa"/>
            <w:shd w:val="clear" w:color="auto" w:fill="8DB3E2" w:themeFill="text2" w:themeFillTint="66"/>
            <w:vAlign w:val="bottom"/>
          </w:tcPr>
          <w:p w:rsidR="00876538" w:rsidRPr="007139A3" w:rsidRDefault="00876538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876538" w:rsidRDefault="00876538" w:rsidP="008765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1,832,678 (77.0%)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876538" w:rsidRDefault="00876538" w:rsidP="008765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1,855,650 (80.0%)</w:t>
            </w:r>
          </w:p>
        </w:tc>
      </w:tr>
      <w:tr w:rsidR="00876538" w:rsidRPr="002E42CC" w:rsidTr="00696A94">
        <w:trPr>
          <w:trHeight w:val="226"/>
          <w:jc w:val="center"/>
        </w:trPr>
        <w:tc>
          <w:tcPr>
            <w:tcW w:w="1656" w:type="dxa"/>
            <w:shd w:val="clear" w:color="auto" w:fill="8DB3E2" w:themeFill="text2" w:themeFillTint="66"/>
            <w:vAlign w:val="bottom"/>
          </w:tcPr>
          <w:p w:rsidR="00876538" w:rsidRPr="007139A3" w:rsidRDefault="00876538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876538" w:rsidRDefault="00876538" w:rsidP="008765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171,143 (7.2%)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876538" w:rsidRDefault="00876538" w:rsidP="008765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162,535 (7.0%)</w:t>
            </w:r>
          </w:p>
        </w:tc>
      </w:tr>
      <w:tr w:rsidR="00876538" w:rsidRPr="002E42CC" w:rsidTr="00696A94">
        <w:trPr>
          <w:trHeight w:val="226"/>
          <w:jc w:val="center"/>
        </w:trPr>
        <w:tc>
          <w:tcPr>
            <w:tcW w:w="1656" w:type="dxa"/>
            <w:shd w:val="clear" w:color="auto" w:fill="8DB3E2" w:themeFill="text2" w:themeFillTint="66"/>
            <w:vAlign w:val="bottom"/>
          </w:tcPr>
          <w:p w:rsidR="00876538" w:rsidRPr="00D413DF" w:rsidRDefault="00876538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876538" w:rsidRDefault="00876538" w:rsidP="008765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349,110 (14.7%)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876538" w:rsidRDefault="00876538" w:rsidP="008765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277,958 (12.0%)</w:t>
            </w:r>
          </w:p>
        </w:tc>
      </w:tr>
      <w:tr w:rsidR="00876538" w:rsidRPr="002E42CC" w:rsidTr="00696A94">
        <w:trPr>
          <w:trHeight w:val="213"/>
          <w:jc w:val="center"/>
        </w:trPr>
        <w:tc>
          <w:tcPr>
            <w:tcW w:w="1656" w:type="dxa"/>
            <w:shd w:val="clear" w:color="auto" w:fill="8DB3E2" w:themeFill="text2" w:themeFillTint="66"/>
            <w:vAlign w:val="bottom"/>
          </w:tcPr>
          <w:p w:rsidR="00876538" w:rsidRDefault="00876538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876538" w:rsidRDefault="00876538" w:rsidP="008765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2,380,678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876538" w:rsidRDefault="00876538" w:rsidP="00876538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2,321,298 (100.0%)</w:t>
            </w:r>
          </w:p>
        </w:tc>
      </w:tr>
    </w:tbl>
    <w:p w:rsidR="00876538" w:rsidRPr="006B4BFF" w:rsidRDefault="00876538" w:rsidP="00876538">
      <w:pPr>
        <w:rPr>
          <w:rFonts w:ascii="Arial" w:hAnsi="Arial" w:cs="Arial"/>
          <w:b/>
        </w:rPr>
      </w:pPr>
    </w:p>
    <w:p w:rsidR="00876538" w:rsidRPr="008C7C50" w:rsidRDefault="00876538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0F1681" w:rsidRP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8C7C50" w:rsidRDefault="008C7C50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696A94" w:rsidRDefault="00696A94" w:rsidP="009D5E4B">
      <w:pPr>
        <w:spacing w:after="0"/>
        <w:rPr>
          <w:rFonts w:ascii="Arial" w:hAnsi="Arial" w:cs="Arial"/>
          <w:b/>
          <w:sz w:val="32"/>
          <w:szCs w:val="32"/>
        </w:rPr>
      </w:pPr>
    </w:p>
    <w:p w:rsidR="009D5E4B" w:rsidRDefault="009D5E4B" w:rsidP="009D5E4B">
      <w:pPr>
        <w:spacing w:after="0"/>
        <w:rPr>
          <w:rFonts w:ascii="Arial" w:hAnsi="Arial" w:cs="Arial"/>
          <w:b/>
          <w:sz w:val="24"/>
          <w:szCs w:val="24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Place of Usual Residence (all persons who moved)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Pr="008C7C50" w:rsidRDefault="00DD1B91" w:rsidP="00DD1B91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7C50">
        <w:rPr>
          <w:rFonts w:ascii="Arial" w:hAnsi="Arial" w:cs="Arial"/>
          <w:b/>
          <w:sz w:val="28"/>
          <w:szCs w:val="28"/>
        </w:rPr>
        <w:t>States and Territories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94200" w:rsidRDefault="00494200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C7C50">
        <w:rPr>
          <w:rFonts w:ascii="Arial" w:hAnsi="Arial" w:cs="Arial"/>
          <w:b/>
          <w:sz w:val="24"/>
          <w:szCs w:val="24"/>
        </w:rPr>
        <w:t xml:space="preserve">Place of </w:t>
      </w:r>
      <w:r w:rsidR="00AA444C" w:rsidRPr="008C7C50">
        <w:rPr>
          <w:rFonts w:ascii="Arial" w:hAnsi="Arial" w:cs="Arial"/>
          <w:b/>
          <w:sz w:val="24"/>
          <w:szCs w:val="24"/>
        </w:rPr>
        <w:t>U</w:t>
      </w:r>
      <w:r w:rsidRPr="008C7C50">
        <w:rPr>
          <w:rFonts w:ascii="Arial" w:hAnsi="Arial" w:cs="Arial"/>
          <w:b/>
          <w:sz w:val="24"/>
          <w:szCs w:val="24"/>
        </w:rPr>
        <w:t xml:space="preserve">sual </w:t>
      </w:r>
      <w:r w:rsidR="00AA444C" w:rsidRPr="008C7C50">
        <w:rPr>
          <w:rFonts w:ascii="Arial" w:hAnsi="Arial" w:cs="Arial"/>
          <w:b/>
          <w:sz w:val="24"/>
          <w:szCs w:val="24"/>
        </w:rPr>
        <w:t>R</w:t>
      </w:r>
      <w:r w:rsidRPr="008C7C50">
        <w:rPr>
          <w:rFonts w:ascii="Arial" w:hAnsi="Arial" w:cs="Arial"/>
          <w:b/>
          <w:sz w:val="24"/>
          <w:szCs w:val="24"/>
        </w:rPr>
        <w:t xml:space="preserve">esidence </w:t>
      </w:r>
      <w:r w:rsidR="00AA444C" w:rsidRPr="008C7C50">
        <w:rPr>
          <w:rFonts w:ascii="Arial" w:hAnsi="Arial" w:cs="Arial"/>
          <w:b/>
          <w:sz w:val="24"/>
          <w:szCs w:val="24"/>
        </w:rPr>
        <w:t>one</w:t>
      </w:r>
      <w:r w:rsidRPr="008C7C50">
        <w:rPr>
          <w:rFonts w:ascii="Arial" w:hAnsi="Arial" w:cs="Arial"/>
          <w:b/>
          <w:sz w:val="24"/>
          <w:szCs w:val="24"/>
        </w:rPr>
        <w:t xml:space="preserve"> year ago (all persons who moved</w:t>
      </w:r>
      <w:r w:rsidR="00AA444C" w:rsidRPr="008C7C50">
        <w:rPr>
          <w:rFonts w:ascii="Arial" w:hAnsi="Arial" w:cs="Arial"/>
          <w:b/>
          <w:sz w:val="24"/>
          <w:szCs w:val="24"/>
        </w:rPr>
        <w:t>, excluding persons aged under one</w:t>
      </w:r>
      <w:r w:rsidRPr="008C7C50">
        <w:rPr>
          <w:rFonts w:ascii="Arial" w:hAnsi="Arial" w:cs="Arial"/>
          <w:b/>
          <w:sz w:val="24"/>
          <w:szCs w:val="24"/>
        </w:rPr>
        <w:t xml:space="preserve"> year)</w:t>
      </w: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</w:rPr>
      </w:pPr>
    </w:p>
    <w:p w:rsidR="0009078C" w:rsidRDefault="00506578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Victoria</w:t>
      </w:r>
    </w:p>
    <w:tbl>
      <w:tblPr>
        <w:tblStyle w:val="TableGrid"/>
        <w:tblW w:w="7077" w:type="dxa"/>
        <w:jc w:val="center"/>
        <w:tblInd w:w="-1339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20"/>
        <w:gridCol w:w="2742"/>
        <w:gridCol w:w="2715"/>
      </w:tblGrid>
      <w:tr w:rsidR="00876538" w:rsidTr="009850F9">
        <w:trPr>
          <w:trHeight w:val="269"/>
          <w:jc w:val="center"/>
        </w:trPr>
        <w:tc>
          <w:tcPr>
            <w:tcW w:w="16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76538" w:rsidRPr="002E42CC" w:rsidRDefault="00506578" w:rsidP="0087653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620" w:type="dxa"/>
            <w:shd w:val="clear" w:color="auto" w:fill="8DB3E2" w:themeFill="text2" w:themeFillTint="66"/>
            <w:vAlign w:val="bottom"/>
          </w:tcPr>
          <w:p w:rsidR="0009078C" w:rsidRPr="007139A3" w:rsidRDefault="0009078C" w:rsidP="00090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595,782 (80.6%)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549,135 (81.3%)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620" w:type="dxa"/>
            <w:shd w:val="clear" w:color="auto" w:fill="8DB3E2" w:themeFill="text2" w:themeFillTint="66"/>
            <w:vAlign w:val="bottom"/>
          </w:tcPr>
          <w:p w:rsidR="0009078C" w:rsidRPr="007139A3" w:rsidRDefault="0009078C" w:rsidP="00090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58,010 (7.8%)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51,792 (7.7%)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620" w:type="dxa"/>
            <w:shd w:val="clear" w:color="auto" w:fill="8DB3E2" w:themeFill="text2" w:themeFillTint="66"/>
            <w:vAlign w:val="bottom"/>
          </w:tcPr>
          <w:p w:rsidR="0009078C" w:rsidRPr="00D413DF" w:rsidRDefault="0009078C" w:rsidP="00090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78,562 (10.6%)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68,991 (10.2%)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620" w:type="dxa"/>
            <w:shd w:val="clear" w:color="auto" w:fill="8DB3E2" w:themeFill="text2" w:themeFillTint="66"/>
            <w:vAlign w:val="bottom"/>
          </w:tcPr>
          <w:p w:rsidR="0009078C" w:rsidRDefault="0009078C" w:rsidP="0009078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739,460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675,698 (100.0%)</w:t>
            </w:r>
          </w:p>
        </w:tc>
      </w:tr>
    </w:tbl>
    <w:p w:rsidR="00876538" w:rsidRPr="008C7C50" w:rsidRDefault="00876538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94200" w:rsidRPr="00A25918" w:rsidRDefault="00494200" w:rsidP="00494200">
      <w:pPr>
        <w:spacing w:after="0"/>
        <w:rPr>
          <w:rFonts w:ascii="Arial" w:hAnsi="Arial" w:cs="Arial"/>
          <w:b/>
          <w:sz w:val="16"/>
          <w:szCs w:val="16"/>
        </w:rPr>
      </w:pPr>
    </w:p>
    <w:p w:rsidR="00494200" w:rsidRDefault="00AA444C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C7C50">
        <w:rPr>
          <w:rFonts w:ascii="Arial" w:hAnsi="Arial" w:cs="Arial"/>
          <w:b/>
          <w:sz w:val="24"/>
          <w:szCs w:val="24"/>
        </w:rPr>
        <w:t>Place of U</w:t>
      </w:r>
      <w:r w:rsidR="00494200" w:rsidRPr="008C7C50">
        <w:rPr>
          <w:rFonts w:ascii="Arial" w:hAnsi="Arial" w:cs="Arial"/>
          <w:b/>
          <w:sz w:val="24"/>
          <w:szCs w:val="24"/>
        </w:rPr>
        <w:t xml:space="preserve">sual </w:t>
      </w:r>
      <w:r w:rsidRPr="008C7C50">
        <w:rPr>
          <w:rFonts w:ascii="Arial" w:hAnsi="Arial" w:cs="Arial"/>
          <w:b/>
          <w:sz w:val="24"/>
          <w:szCs w:val="24"/>
        </w:rPr>
        <w:t>R</w:t>
      </w:r>
      <w:r w:rsidR="00494200" w:rsidRPr="008C7C50">
        <w:rPr>
          <w:rFonts w:ascii="Arial" w:hAnsi="Arial" w:cs="Arial"/>
          <w:b/>
          <w:sz w:val="24"/>
          <w:szCs w:val="24"/>
        </w:rPr>
        <w:t xml:space="preserve">esidence </w:t>
      </w:r>
      <w:r w:rsidRPr="008C7C50">
        <w:rPr>
          <w:rFonts w:ascii="Arial" w:hAnsi="Arial" w:cs="Arial"/>
          <w:b/>
          <w:sz w:val="24"/>
          <w:szCs w:val="24"/>
        </w:rPr>
        <w:t>five</w:t>
      </w:r>
      <w:r w:rsidR="00494200" w:rsidRPr="008C7C50">
        <w:rPr>
          <w:rFonts w:ascii="Arial" w:hAnsi="Arial" w:cs="Arial"/>
          <w:b/>
          <w:sz w:val="24"/>
          <w:szCs w:val="24"/>
        </w:rPr>
        <w:t xml:space="preserve"> years ago (all persons who moved, excluding persons aged under </w:t>
      </w:r>
      <w:r w:rsidRPr="008C7C50">
        <w:rPr>
          <w:rFonts w:ascii="Arial" w:hAnsi="Arial" w:cs="Arial"/>
          <w:b/>
          <w:sz w:val="24"/>
          <w:szCs w:val="24"/>
        </w:rPr>
        <w:t>five</w:t>
      </w:r>
      <w:r w:rsidR="00494200" w:rsidRPr="008C7C50">
        <w:rPr>
          <w:rFonts w:ascii="Arial" w:hAnsi="Arial" w:cs="Arial"/>
          <w:b/>
          <w:sz w:val="24"/>
          <w:szCs w:val="24"/>
        </w:rPr>
        <w:t xml:space="preserve"> year</w:t>
      </w:r>
      <w:r w:rsidRPr="008C7C50">
        <w:rPr>
          <w:rFonts w:ascii="Arial" w:hAnsi="Arial" w:cs="Arial"/>
          <w:b/>
          <w:sz w:val="24"/>
          <w:szCs w:val="24"/>
        </w:rPr>
        <w:t>s</w:t>
      </w:r>
      <w:r w:rsidR="00494200" w:rsidRPr="008C7C50">
        <w:rPr>
          <w:rFonts w:ascii="Arial" w:hAnsi="Arial" w:cs="Arial"/>
          <w:b/>
          <w:sz w:val="24"/>
          <w:szCs w:val="24"/>
        </w:rPr>
        <w:t>)</w:t>
      </w: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</w:rPr>
      </w:pPr>
    </w:p>
    <w:p w:rsidR="0009078C" w:rsidRDefault="00506578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Victoria</w:t>
      </w:r>
    </w:p>
    <w:tbl>
      <w:tblPr>
        <w:tblStyle w:val="TableGrid"/>
        <w:tblW w:w="7124" w:type="dxa"/>
        <w:jc w:val="center"/>
        <w:tblInd w:w="-1386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67"/>
        <w:gridCol w:w="2742"/>
        <w:gridCol w:w="2715"/>
      </w:tblGrid>
      <w:tr w:rsidR="0009078C" w:rsidTr="009850F9">
        <w:trPr>
          <w:trHeight w:val="269"/>
          <w:jc w:val="center"/>
        </w:trPr>
        <w:tc>
          <w:tcPr>
            <w:tcW w:w="1667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9078C" w:rsidRPr="002E42CC" w:rsidRDefault="0009078C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09078C" w:rsidRDefault="0009078C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09078C" w:rsidRDefault="0009078C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667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1,373,493 (74.1%)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1,333,618 (79.0%)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667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147,749 (8.0%)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135,948 (8.0%)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667" w:type="dxa"/>
            <w:shd w:val="clear" w:color="auto" w:fill="8DB3E2" w:themeFill="text2" w:themeFillTint="66"/>
            <w:vAlign w:val="bottom"/>
          </w:tcPr>
          <w:p w:rsidR="0009078C" w:rsidRPr="00D413DF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312,606 (16.9%)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209,417 (12.0%)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667" w:type="dxa"/>
            <w:shd w:val="clear" w:color="auto" w:fill="8DB3E2" w:themeFill="text2" w:themeFillTint="66"/>
            <w:vAlign w:val="bottom"/>
          </w:tcPr>
          <w:p w:rsidR="0009078C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1,853,246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1,695,771 (100.0%)</w:t>
            </w:r>
          </w:p>
        </w:tc>
      </w:tr>
    </w:tbl>
    <w:p w:rsidR="00876538" w:rsidRPr="008C7C50" w:rsidRDefault="00876538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C7C50" w:rsidRPr="00A25918" w:rsidRDefault="008C7C50" w:rsidP="00494200">
      <w:pPr>
        <w:spacing w:after="0"/>
        <w:rPr>
          <w:rFonts w:ascii="Arial" w:hAnsi="Arial" w:cs="Arial"/>
          <w:b/>
          <w:sz w:val="16"/>
          <w:szCs w:val="16"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Pr="006B4BFF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9850F9" w:rsidRPr="008C7C50" w:rsidRDefault="009850F9" w:rsidP="009850F9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9850F9" w:rsidRPr="00A25918" w:rsidRDefault="009850F9" w:rsidP="009850F9">
      <w:pPr>
        <w:spacing w:after="0"/>
        <w:rPr>
          <w:rFonts w:ascii="Arial" w:hAnsi="Arial" w:cs="Arial"/>
          <w:b/>
          <w:sz w:val="16"/>
          <w:szCs w:val="16"/>
        </w:rPr>
      </w:pPr>
    </w:p>
    <w:p w:rsidR="009850F9" w:rsidRDefault="009850F9" w:rsidP="009850F9">
      <w:pPr>
        <w:rPr>
          <w:rFonts w:ascii="Arial" w:hAnsi="Arial" w:cs="Arial"/>
          <w:b/>
        </w:rPr>
      </w:pPr>
    </w:p>
    <w:p w:rsidR="000F1681" w:rsidRDefault="000F1681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8C7C50" w:rsidRDefault="008C7C50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Place of Usual Residence (all persons who moved)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Pr="008C7C50" w:rsidRDefault="00DD1B91" w:rsidP="00DD1B91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7C50">
        <w:rPr>
          <w:rFonts w:ascii="Arial" w:hAnsi="Arial" w:cs="Arial"/>
          <w:b/>
          <w:sz w:val="28"/>
          <w:szCs w:val="28"/>
        </w:rPr>
        <w:t>States and Territories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94200" w:rsidRDefault="00494200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C7C50">
        <w:rPr>
          <w:rFonts w:ascii="Arial" w:hAnsi="Arial" w:cs="Arial"/>
          <w:b/>
          <w:sz w:val="24"/>
          <w:szCs w:val="24"/>
        </w:rPr>
        <w:t xml:space="preserve">Place of </w:t>
      </w:r>
      <w:r w:rsidR="00AA444C" w:rsidRPr="008C7C50">
        <w:rPr>
          <w:rFonts w:ascii="Arial" w:hAnsi="Arial" w:cs="Arial"/>
          <w:b/>
          <w:sz w:val="24"/>
          <w:szCs w:val="24"/>
        </w:rPr>
        <w:t>U</w:t>
      </w:r>
      <w:r w:rsidRPr="008C7C50">
        <w:rPr>
          <w:rFonts w:ascii="Arial" w:hAnsi="Arial" w:cs="Arial"/>
          <w:b/>
          <w:sz w:val="24"/>
          <w:szCs w:val="24"/>
        </w:rPr>
        <w:t xml:space="preserve">sual </w:t>
      </w:r>
      <w:r w:rsidR="00AA444C" w:rsidRPr="008C7C50">
        <w:rPr>
          <w:rFonts w:ascii="Arial" w:hAnsi="Arial" w:cs="Arial"/>
          <w:b/>
          <w:sz w:val="24"/>
          <w:szCs w:val="24"/>
        </w:rPr>
        <w:t>R</w:t>
      </w:r>
      <w:r w:rsidRPr="008C7C50">
        <w:rPr>
          <w:rFonts w:ascii="Arial" w:hAnsi="Arial" w:cs="Arial"/>
          <w:b/>
          <w:sz w:val="24"/>
          <w:szCs w:val="24"/>
        </w:rPr>
        <w:t xml:space="preserve">esidence </w:t>
      </w:r>
      <w:r w:rsidR="00AA444C" w:rsidRPr="008C7C50">
        <w:rPr>
          <w:rFonts w:ascii="Arial" w:hAnsi="Arial" w:cs="Arial"/>
          <w:b/>
          <w:sz w:val="24"/>
          <w:szCs w:val="24"/>
        </w:rPr>
        <w:t>one</w:t>
      </w:r>
      <w:r w:rsidRPr="008C7C50">
        <w:rPr>
          <w:rFonts w:ascii="Arial" w:hAnsi="Arial" w:cs="Arial"/>
          <w:b/>
          <w:sz w:val="24"/>
          <w:szCs w:val="24"/>
        </w:rPr>
        <w:t xml:space="preserve"> year ago (all persons who moved</w:t>
      </w:r>
      <w:r w:rsidR="00AA444C" w:rsidRPr="008C7C50">
        <w:rPr>
          <w:rFonts w:ascii="Arial" w:hAnsi="Arial" w:cs="Arial"/>
          <w:b/>
          <w:sz w:val="24"/>
          <w:szCs w:val="24"/>
        </w:rPr>
        <w:t>, excluding persons aged under one</w:t>
      </w:r>
      <w:r w:rsidRPr="008C7C50">
        <w:rPr>
          <w:rFonts w:ascii="Arial" w:hAnsi="Arial" w:cs="Arial"/>
          <w:b/>
          <w:sz w:val="24"/>
          <w:szCs w:val="24"/>
        </w:rPr>
        <w:t xml:space="preserve"> year)</w:t>
      </w:r>
    </w:p>
    <w:p w:rsidR="0009078C" w:rsidRDefault="0009078C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Queensland</w:t>
      </w:r>
    </w:p>
    <w:tbl>
      <w:tblPr>
        <w:tblStyle w:val="TableGrid"/>
        <w:tblW w:w="7129" w:type="dxa"/>
        <w:jc w:val="center"/>
        <w:tblInd w:w="-1391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72"/>
        <w:gridCol w:w="2742"/>
        <w:gridCol w:w="2715"/>
      </w:tblGrid>
      <w:tr w:rsidR="0009078C" w:rsidTr="009850F9">
        <w:trPr>
          <w:trHeight w:val="269"/>
          <w:jc w:val="center"/>
        </w:trPr>
        <w:tc>
          <w:tcPr>
            <w:tcW w:w="1672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09078C" w:rsidRPr="002E42CC" w:rsidRDefault="0009078C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09078C" w:rsidRDefault="0009078C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09078C" w:rsidRDefault="0009078C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672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616,280 (80.6%)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610,133 (80.4%)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672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75,240 (9.8%)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83,007 (10.9%)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672" w:type="dxa"/>
            <w:shd w:val="clear" w:color="auto" w:fill="8DB3E2" w:themeFill="text2" w:themeFillTint="66"/>
            <w:vAlign w:val="bottom"/>
          </w:tcPr>
          <w:p w:rsidR="0009078C" w:rsidRPr="00D413DF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63,185 (8.3%)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57,581 (7.6%)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672" w:type="dxa"/>
            <w:shd w:val="clear" w:color="auto" w:fill="8DB3E2" w:themeFill="text2" w:themeFillTint="66"/>
            <w:vAlign w:val="bottom"/>
          </w:tcPr>
          <w:p w:rsidR="0009078C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764,692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759,132 (100.0%)</w:t>
            </w:r>
          </w:p>
        </w:tc>
      </w:tr>
    </w:tbl>
    <w:p w:rsidR="00494200" w:rsidRPr="000F1681" w:rsidRDefault="00494200" w:rsidP="00494200">
      <w:pPr>
        <w:rPr>
          <w:rFonts w:ascii="Arial" w:hAnsi="Arial" w:cs="Arial"/>
          <w:b/>
        </w:rPr>
      </w:pPr>
    </w:p>
    <w:p w:rsidR="008C7C50" w:rsidRDefault="00494200" w:rsidP="008C7C5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C7C50">
        <w:rPr>
          <w:rFonts w:ascii="Arial" w:hAnsi="Arial" w:cs="Arial"/>
          <w:b/>
          <w:sz w:val="24"/>
          <w:szCs w:val="24"/>
        </w:rPr>
        <w:t xml:space="preserve">Place of </w:t>
      </w:r>
      <w:r w:rsidR="00AA444C" w:rsidRPr="008C7C50">
        <w:rPr>
          <w:rFonts w:ascii="Arial" w:hAnsi="Arial" w:cs="Arial"/>
          <w:b/>
          <w:sz w:val="24"/>
          <w:szCs w:val="24"/>
        </w:rPr>
        <w:t>U</w:t>
      </w:r>
      <w:r w:rsidRPr="008C7C50">
        <w:rPr>
          <w:rFonts w:ascii="Arial" w:hAnsi="Arial" w:cs="Arial"/>
          <w:b/>
          <w:sz w:val="24"/>
          <w:szCs w:val="24"/>
        </w:rPr>
        <w:t xml:space="preserve">sual </w:t>
      </w:r>
      <w:r w:rsidR="00AA444C" w:rsidRPr="008C7C50">
        <w:rPr>
          <w:rFonts w:ascii="Arial" w:hAnsi="Arial" w:cs="Arial"/>
          <w:b/>
          <w:sz w:val="24"/>
          <w:szCs w:val="24"/>
        </w:rPr>
        <w:t>R</w:t>
      </w:r>
      <w:r w:rsidRPr="008C7C50">
        <w:rPr>
          <w:rFonts w:ascii="Arial" w:hAnsi="Arial" w:cs="Arial"/>
          <w:b/>
          <w:sz w:val="24"/>
          <w:szCs w:val="24"/>
        </w:rPr>
        <w:t xml:space="preserve">esidence </w:t>
      </w:r>
      <w:r w:rsidR="00AA444C" w:rsidRPr="008C7C50">
        <w:rPr>
          <w:rFonts w:ascii="Arial" w:hAnsi="Arial" w:cs="Arial"/>
          <w:b/>
          <w:sz w:val="24"/>
          <w:szCs w:val="24"/>
        </w:rPr>
        <w:t>five</w:t>
      </w:r>
      <w:r w:rsidRPr="008C7C50">
        <w:rPr>
          <w:rFonts w:ascii="Arial" w:hAnsi="Arial" w:cs="Arial"/>
          <w:b/>
          <w:sz w:val="24"/>
          <w:szCs w:val="24"/>
        </w:rPr>
        <w:t xml:space="preserve"> years ago (all persons who moved, excluding persons aged under </w:t>
      </w:r>
      <w:r w:rsidR="00AA444C" w:rsidRPr="008C7C50">
        <w:rPr>
          <w:rFonts w:ascii="Arial" w:hAnsi="Arial" w:cs="Arial"/>
          <w:b/>
          <w:sz w:val="24"/>
          <w:szCs w:val="24"/>
        </w:rPr>
        <w:t>five</w:t>
      </w:r>
      <w:r w:rsidRPr="008C7C50">
        <w:rPr>
          <w:rFonts w:ascii="Arial" w:hAnsi="Arial" w:cs="Arial"/>
          <w:b/>
          <w:sz w:val="24"/>
          <w:szCs w:val="24"/>
        </w:rPr>
        <w:t xml:space="preserve"> year</w:t>
      </w:r>
      <w:r w:rsidR="00AA444C" w:rsidRPr="008C7C50">
        <w:rPr>
          <w:rFonts w:ascii="Arial" w:hAnsi="Arial" w:cs="Arial"/>
          <w:b/>
          <w:sz w:val="24"/>
          <w:szCs w:val="24"/>
        </w:rPr>
        <w:t>s</w:t>
      </w:r>
      <w:r w:rsidRPr="008C7C50">
        <w:rPr>
          <w:rFonts w:ascii="Arial" w:hAnsi="Arial" w:cs="Arial"/>
          <w:b/>
          <w:sz w:val="24"/>
          <w:szCs w:val="24"/>
        </w:rPr>
        <w:t>)</w:t>
      </w:r>
    </w:p>
    <w:p w:rsidR="00876538" w:rsidRDefault="00876538" w:rsidP="008C7C5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76538" w:rsidRDefault="00506578" w:rsidP="008C7C5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Queensland</w:t>
      </w:r>
    </w:p>
    <w:tbl>
      <w:tblPr>
        <w:tblStyle w:val="TableGrid"/>
        <w:tblW w:w="7177" w:type="dxa"/>
        <w:jc w:val="center"/>
        <w:tblInd w:w="-1439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720"/>
        <w:gridCol w:w="2742"/>
        <w:gridCol w:w="2715"/>
      </w:tblGrid>
      <w:tr w:rsidR="00B105C9" w:rsidTr="009850F9">
        <w:trPr>
          <w:trHeight w:val="269"/>
          <w:jc w:val="center"/>
        </w:trPr>
        <w:tc>
          <w:tcPr>
            <w:tcW w:w="1720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105C9" w:rsidRPr="002E42CC" w:rsidRDefault="00B105C9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B105C9" w:rsidRDefault="00B105C9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B105C9" w:rsidRDefault="00B105C9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B105C9" w:rsidTr="009850F9">
        <w:trPr>
          <w:trHeight w:val="213"/>
          <w:jc w:val="center"/>
        </w:trPr>
        <w:tc>
          <w:tcPr>
            <w:tcW w:w="1720" w:type="dxa"/>
            <w:shd w:val="clear" w:color="auto" w:fill="8DB3E2" w:themeFill="text2" w:themeFillTint="66"/>
            <w:vAlign w:val="bottom"/>
          </w:tcPr>
          <w:p w:rsidR="00B105C9" w:rsidRPr="007139A3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1,331,607 (73.4%)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1,292,142 (74.0%)</w:t>
            </w:r>
          </w:p>
        </w:tc>
      </w:tr>
      <w:tr w:rsidR="00B105C9" w:rsidTr="009850F9">
        <w:trPr>
          <w:trHeight w:val="226"/>
          <w:jc w:val="center"/>
        </w:trPr>
        <w:tc>
          <w:tcPr>
            <w:tcW w:w="1720" w:type="dxa"/>
            <w:shd w:val="clear" w:color="auto" w:fill="8DB3E2" w:themeFill="text2" w:themeFillTint="66"/>
            <w:vAlign w:val="bottom"/>
          </w:tcPr>
          <w:p w:rsidR="00B105C9" w:rsidRPr="007139A3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218,734 (12.1%)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259,885 (15.0%)</w:t>
            </w:r>
          </w:p>
        </w:tc>
      </w:tr>
      <w:tr w:rsidR="00B105C9" w:rsidTr="009850F9">
        <w:trPr>
          <w:trHeight w:val="226"/>
          <w:jc w:val="center"/>
        </w:trPr>
        <w:tc>
          <w:tcPr>
            <w:tcW w:w="1720" w:type="dxa"/>
            <w:shd w:val="clear" w:color="auto" w:fill="8DB3E2" w:themeFill="text2" w:themeFillTint="66"/>
            <w:vAlign w:val="bottom"/>
          </w:tcPr>
          <w:p w:rsidR="00B105C9" w:rsidRPr="00D413DF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238,591 (13.1%)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159,539 (9.0%)</w:t>
            </w:r>
          </w:p>
        </w:tc>
      </w:tr>
      <w:tr w:rsidR="00B105C9" w:rsidTr="009850F9">
        <w:trPr>
          <w:trHeight w:val="213"/>
          <w:jc w:val="center"/>
        </w:trPr>
        <w:tc>
          <w:tcPr>
            <w:tcW w:w="1720" w:type="dxa"/>
            <w:shd w:val="clear" w:color="auto" w:fill="8DB3E2" w:themeFill="text2" w:themeFillTint="66"/>
            <w:vAlign w:val="bottom"/>
          </w:tcPr>
          <w:p w:rsidR="00B105C9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1,815,132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1,734,698 (100.0%)</w:t>
            </w:r>
          </w:p>
        </w:tc>
      </w:tr>
    </w:tbl>
    <w:p w:rsidR="000F1681" w:rsidRDefault="000F1681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0756C2" w:rsidRDefault="000756C2" w:rsidP="008C7C50">
      <w:pPr>
        <w:spacing w:after="0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Place of Usual Residence (all persons who moved)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Pr="008C7C50" w:rsidRDefault="00DD1B91" w:rsidP="00DD1B91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7C50">
        <w:rPr>
          <w:rFonts w:ascii="Arial" w:hAnsi="Arial" w:cs="Arial"/>
          <w:b/>
          <w:sz w:val="28"/>
          <w:szCs w:val="28"/>
        </w:rPr>
        <w:t>States and Territories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9D5E4B" w:rsidRDefault="009D5E4B" w:rsidP="00B105C9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876538" w:rsidRDefault="00494200" w:rsidP="00B105C9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C7C50">
        <w:rPr>
          <w:rFonts w:ascii="Arial" w:hAnsi="Arial" w:cs="Arial"/>
          <w:b/>
          <w:sz w:val="24"/>
          <w:szCs w:val="24"/>
        </w:rPr>
        <w:t xml:space="preserve">Place of </w:t>
      </w:r>
      <w:r w:rsidR="00AA444C" w:rsidRPr="008C7C50">
        <w:rPr>
          <w:rFonts w:ascii="Arial" w:hAnsi="Arial" w:cs="Arial"/>
          <w:b/>
          <w:sz w:val="24"/>
          <w:szCs w:val="24"/>
        </w:rPr>
        <w:t>U</w:t>
      </w:r>
      <w:r w:rsidRPr="008C7C50">
        <w:rPr>
          <w:rFonts w:ascii="Arial" w:hAnsi="Arial" w:cs="Arial"/>
          <w:b/>
          <w:sz w:val="24"/>
          <w:szCs w:val="24"/>
        </w:rPr>
        <w:t xml:space="preserve">sual </w:t>
      </w:r>
      <w:r w:rsidR="00AA444C" w:rsidRPr="008C7C50">
        <w:rPr>
          <w:rFonts w:ascii="Arial" w:hAnsi="Arial" w:cs="Arial"/>
          <w:b/>
          <w:sz w:val="24"/>
          <w:szCs w:val="24"/>
        </w:rPr>
        <w:t>R</w:t>
      </w:r>
      <w:r w:rsidRPr="008C7C50">
        <w:rPr>
          <w:rFonts w:ascii="Arial" w:hAnsi="Arial" w:cs="Arial"/>
          <w:b/>
          <w:sz w:val="24"/>
          <w:szCs w:val="24"/>
        </w:rPr>
        <w:t xml:space="preserve">esidence </w:t>
      </w:r>
      <w:r w:rsidR="00AA444C" w:rsidRPr="008C7C50">
        <w:rPr>
          <w:rFonts w:ascii="Arial" w:hAnsi="Arial" w:cs="Arial"/>
          <w:b/>
          <w:sz w:val="24"/>
          <w:szCs w:val="24"/>
        </w:rPr>
        <w:t>one</w:t>
      </w:r>
      <w:r w:rsidRPr="008C7C50">
        <w:rPr>
          <w:rFonts w:ascii="Arial" w:hAnsi="Arial" w:cs="Arial"/>
          <w:b/>
          <w:sz w:val="24"/>
          <w:szCs w:val="24"/>
        </w:rPr>
        <w:t xml:space="preserve"> year ago (all persons who moved, excluding persons aged under </w:t>
      </w:r>
      <w:r w:rsidR="00AA444C" w:rsidRPr="008C7C50">
        <w:rPr>
          <w:rFonts w:ascii="Arial" w:hAnsi="Arial" w:cs="Arial"/>
          <w:b/>
          <w:sz w:val="24"/>
          <w:szCs w:val="24"/>
        </w:rPr>
        <w:t>one</w:t>
      </w:r>
      <w:r w:rsidRPr="008C7C50">
        <w:rPr>
          <w:rFonts w:ascii="Arial" w:hAnsi="Arial" w:cs="Arial"/>
          <w:b/>
          <w:sz w:val="24"/>
          <w:szCs w:val="24"/>
        </w:rPr>
        <w:t xml:space="preserve"> year)</w:t>
      </w: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</w:rPr>
      </w:pPr>
    </w:p>
    <w:p w:rsidR="00876538" w:rsidRDefault="00506578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South Australia</w:t>
      </w:r>
    </w:p>
    <w:tbl>
      <w:tblPr>
        <w:tblStyle w:val="TableGrid"/>
        <w:tblW w:w="7113" w:type="dxa"/>
        <w:jc w:val="center"/>
        <w:tblInd w:w="-1375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56"/>
        <w:gridCol w:w="2742"/>
        <w:gridCol w:w="2715"/>
      </w:tblGrid>
      <w:tr w:rsidR="00B105C9" w:rsidTr="009850F9">
        <w:trPr>
          <w:trHeight w:val="269"/>
          <w:jc w:val="center"/>
        </w:trPr>
        <w:tc>
          <w:tcPr>
            <w:tcW w:w="165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105C9" w:rsidRPr="002E42CC" w:rsidRDefault="00B105C9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B105C9" w:rsidRDefault="00B105C9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B105C9" w:rsidRDefault="00B105C9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B105C9" w:rsidTr="009850F9">
        <w:trPr>
          <w:trHeight w:val="213"/>
          <w:jc w:val="center"/>
        </w:trPr>
        <w:tc>
          <w:tcPr>
            <w:tcW w:w="1656" w:type="dxa"/>
            <w:shd w:val="clear" w:color="auto" w:fill="8DB3E2" w:themeFill="text2" w:themeFillTint="66"/>
            <w:vAlign w:val="bottom"/>
          </w:tcPr>
          <w:p w:rsidR="00B105C9" w:rsidRPr="007139A3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174,940 (81.4%)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171,566 (81.4%)</w:t>
            </w:r>
          </w:p>
        </w:tc>
      </w:tr>
      <w:tr w:rsidR="00B105C9" w:rsidTr="009850F9">
        <w:trPr>
          <w:trHeight w:val="226"/>
          <w:jc w:val="center"/>
        </w:trPr>
        <w:tc>
          <w:tcPr>
            <w:tcW w:w="1656" w:type="dxa"/>
            <w:shd w:val="clear" w:color="auto" w:fill="8DB3E2" w:themeFill="text2" w:themeFillTint="66"/>
            <w:vAlign w:val="bottom"/>
          </w:tcPr>
          <w:p w:rsidR="00B105C9" w:rsidRPr="007139A3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20,112 (9.4%)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18,901 (9.0%)</w:t>
            </w:r>
          </w:p>
        </w:tc>
      </w:tr>
      <w:tr w:rsidR="00B105C9" w:rsidTr="009850F9">
        <w:trPr>
          <w:trHeight w:val="226"/>
          <w:jc w:val="center"/>
        </w:trPr>
        <w:tc>
          <w:tcPr>
            <w:tcW w:w="1656" w:type="dxa"/>
            <w:shd w:val="clear" w:color="auto" w:fill="8DB3E2" w:themeFill="text2" w:themeFillTint="66"/>
            <w:vAlign w:val="bottom"/>
          </w:tcPr>
          <w:p w:rsidR="00B105C9" w:rsidRPr="00D413DF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17,543 (8.2%)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18,154 (8.6%)</w:t>
            </w:r>
          </w:p>
        </w:tc>
      </w:tr>
      <w:tr w:rsidR="00B105C9" w:rsidTr="009850F9">
        <w:trPr>
          <w:trHeight w:val="213"/>
          <w:jc w:val="center"/>
        </w:trPr>
        <w:tc>
          <w:tcPr>
            <w:tcW w:w="1656" w:type="dxa"/>
            <w:shd w:val="clear" w:color="auto" w:fill="8DB3E2" w:themeFill="text2" w:themeFillTint="66"/>
            <w:vAlign w:val="bottom"/>
          </w:tcPr>
          <w:p w:rsidR="00B105C9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215,031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210,720 (100.0%)</w:t>
            </w:r>
          </w:p>
        </w:tc>
      </w:tr>
    </w:tbl>
    <w:p w:rsidR="000756C2" w:rsidRDefault="000756C2" w:rsidP="00876538">
      <w:pPr>
        <w:spacing w:after="0"/>
        <w:rPr>
          <w:rFonts w:ascii="Arial" w:hAnsi="Arial" w:cs="Arial"/>
          <w:b/>
          <w:sz w:val="32"/>
          <w:szCs w:val="32"/>
        </w:rPr>
      </w:pPr>
    </w:p>
    <w:p w:rsidR="00494200" w:rsidRDefault="00494200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8C7C50">
        <w:rPr>
          <w:rFonts w:ascii="Arial" w:hAnsi="Arial" w:cs="Arial"/>
          <w:b/>
          <w:sz w:val="24"/>
          <w:szCs w:val="24"/>
        </w:rPr>
        <w:t xml:space="preserve">Place of </w:t>
      </w:r>
      <w:r w:rsidR="00AA444C" w:rsidRPr="008C7C50">
        <w:rPr>
          <w:rFonts w:ascii="Arial" w:hAnsi="Arial" w:cs="Arial"/>
          <w:b/>
          <w:sz w:val="24"/>
          <w:szCs w:val="24"/>
        </w:rPr>
        <w:t>U</w:t>
      </w:r>
      <w:r w:rsidRPr="008C7C50">
        <w:rPr>
          <w:rFonts w:ascii="Arial" w:hAnsi="Arial" w:cs="Arial"/>
          <w:b/>
          <w:sz w:val="24"/>
          <w:szCs w:val="24"/>
        </w:rPr>
        <w:t xml:space="preserve">sual </w:t>
      </w:r>
      <w:r w:rsidR="00AA444C" w:rsidRPr="008C7C50">
        <w:rPr>
          <w:rFonts w:ascii="Arial" w:hAnsi="Arial" w:cs="Arial"/>
          <w:b/>
          <w:sz w:val="24"/>
          <w:szCs w:val="24"/>
        </w:rPr>
        <w:t>R</w:t>
      </w:r>
      <w:r w:rsidRPr="008C7C50">
        <w:rPr>
          <w:rFonts w:ascii="Arial" w:hAnsi="Arial" w:cs="Arial"/>
          <w:b/>
          <w:sz w:val="24"/>
          <w:szCs w:val="24"/>
        </w:rPr>
        <w:t xml:space="preserve">esidence </w:t>
      </w:r>
      <w:r w:rsidR="00AA444C" w:rsidRPr="008C7C50">
        <w:rPr>
          <w:rFonts w:ascii="Arial" w:hAnsi="Arial" w:cs="Arial"/>
          <w:b/>
          <w:sz w:val="24"/>
          <w:szCs w:val="24"/>
        </w:rPr>
        <w:t>five</w:t>
      </w:r>
      <w:r w:rsidRPr="008C7C50">
        <w:rPr>
          <w:rFonts w:ascii="Arial" w:hAnsi="Arial" w:cs="Arial"/>
          <w:b/>
          <w:sz w:val="24"/>
          <w:szCs w:val="24"/>
        </w:rPr>
        <w:t xml:space="preserve"> years ago (all persons who moved, excluding persons aged under </w:t>
      </w:r>
      <w:r w:rsidR="00AA444C" w:rsidRPr="008C7C50">
        <w:rPr>
          <w:rFonts w:ascii="Arial" w:hAnsi="Arial" w:cs="Arial"/>
          <w:b/>
          <w:sz w:val="24"/>
          <w:szCs w:val="24"/>
        </w:rPr>
        <w:t>five</w:t>
      </w:r>
      <w:r w:rsidRPr="008C7C50">
        <w:rPr>
          <w:rFonts w:ascii="Arial" w:hAnsi="Arial" w:cs="Arial"/>
          <w:b/>
          <w:sz w:val="24"/>
          <w:szCs w:val="24"/>
        </w:rPr>
        <w:t xml:space="preserve"> year</w:t>
      </w:r>
      <w:r w:rsidR="00AA444C" w:rsidRPr="008C7C50">
        <w:rPr>
          <w:rFonts w:ascii="Arial" w:hAnsi="Arial" w:cs="Arial"/>
          <w:b/>
          <w:sz w:val="24"/>
          <w:szCs w:val="24"/>
        </w:rPr>
        <w:t>s</w:t>
      </w:r>
      <w:r w:rsidRPr="008C7C50">
        <w:rPr>
          <w:rFonts w:ascii="Arial" w:hAnsi="Arial" w:cs="Arial"/>
          <w:b/>
          <w:sz w:val="24"/>
          <w:szCs w:val="24"/>
        </w:rPr>
        <w:t>)</w:t>
      </w: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</w:rPr>
      </w:pPr>
    </w:p>
    <w:p w:rsidR="00876538" w:rsidRDefault="00506578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South Australia</w:t>
      </w:r>
    </w:p>
    <w:tbl>
      <w:tblPr>
        <w:tblStyle w:val="TableGrid"/>
        <w:tblW w:w="7146" w:type="dxa"/>
        <w:jc w:val="center"/>
        <w:tblInd w:w="-140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689"/>
        <w:gridCol w:w="2742"/>
        <w:gridCol w:w="2715"/>
      </w:tblGrid>
      <w:tr w:rsidR="00B105C9" w:rsidTr="009850F9">
        <w:trPr>
          <w:trHeight w:val="269"/>
          <w:jc w:val="center"/>
        </w:trPr>
        <w:tc>
          <w:tcPr>
            <w:tcW w:w="168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B105C9" w:rsidRPr="002E42CC" w:rsidRDefault="00B105C9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B105C9" w:rsidRDefault="00B105C9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B105C9" w:rsidRDefault="00B105C9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B105C9" w:rsidTr="009850F9">
        <w:trPr>
          <w:trHeight w:val="213"/>
          <w:jc w:val="center"/>
        </w:trPr>
        <w:tc>
          <w:tcPr>
            <w:tcW w:w="1689" w:type="dxa"/>
            <w:shd w:val="clear" w:color="auto" w:fill="8DB3E2" w:themeFill="text2" w:themeFillTint="66"/>
            <w:vAlign w:val="bottom"/>
          </w:tcPr>
          <w:p w:rsidR="00B105C9" w:rsidRPr="007139A3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409,363 (75.7%)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413,563 (80.1%)</w:t>
            </w:r>
          </w:p>
        </w:tc>
      </w:tr>
      <w:tr w:rsidR="00B105C9" w:rsidTr="009850F9">
        <w:trPr>
          <w:trHeight w:val="226"/>
          <w:jc w:val="center"/>
        </w:trPr>
        <w:tc>
          <w:tcPr>
            <w:tcW w:w="1689" w:type="dxa"/>
            <w:shd w:val="clear" w:color="auto" w:fill="8DB3E2" w:themeFill="text2" w:themeFillTint="66"/>
            <w:vAlign w:val="bottom"/>
          </w:tcPr>
          <w:p w:rsidR="00B105C9" w:rsidRPr="007139A3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50,178 (9.3%)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51,530 (10.0%)</w:t>
            </w:r>
          </w:p>
        </w:tc>
      </w:tr>
      <w:tr w:rsidR="00B105C9" w:rsidTr="009850F9">
        <w:trPr>
          <w:trHeight w:val="226"/>
          <w:jc w:val="center"/>
        </w:trPr>
        <w:tc>
          <w:tcPr>
            <w:tcW w:w="1689" w:type="dxa"/>
            <w:shd w:val="clear" w:color="auto" w:fill="8DB3E2" w:themeFill="text2" w:themeFillTint="66"/>
            <w:vAlign w:val="bottom"/>
          </w:tcPr>
          <w:p w:rsidR="00B105C9" w:rsidRPr="00D413DF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74,495 (13.8%)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45,922 (8.9%)</w:t>
            </w:r>
          </w:p>
        </w:tc>
      </w:tr>
      <w:tr w:rsidR="00B105C9" w:rsidTr="009850F9">
        <w:trPr>
          <w:trHeight w:val="213"/>
          <w:jc w:val="center"/>
        </w:trPr>
        <w:tc>
          <w:tcPr>
            <w:tcW w:w="1689" w:type="dxa"/>
            <w:shd w:val="clear" w:color="auto" w:fill="8DB3E2" w:themeFill="text2" w:themeFillTint="66"/>
            <w:vAlign w:val="bottom"/>
          </w:tcPr>
          <w:p w:rsidR="00B105C9" w:rsidRDefault="00B105C9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B105C9" w:rsidRDefault="00B105C9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540,598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B105C9" w:rsidRDefault="00B105C9" w:rsidP="00B105C9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516,221 (100.0%)</w:t>
            </w:r>
          </w:p>
        </w:tc>
      </w:tr>
    </w:tbl>
    <w:p w:rsidR="00494200" w:rsidRDefault="00494200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Place of Usual Residence (all persons who moved)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Pr="008C7C50" w:rsidRDefault="00DD1B91" w:rsidP="00DD1B91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7C50">
        <w:rPr>
          <w:rFonts w:ascii="Arial" w:hAnsi="Arial" w:cs="Arial"/>
          <w:b/>
          <w:sz w:val="28"/>
          <w:szCs w:val="28"/>
        </w:rPr>
        <w:t>States and Territories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39D" w:rsidRDefault="00DD139D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94200" w:rsidRDefault="00494200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0109C">
        <w:rPr>
          <w:rFonts w:ascii="Arial" w:hAnsi="Arial" w:cs="Arial"/>
          <w:b/>
          <w:sz w:val="24"/>
          <w:szCs w:val="24"/>
        </w:rPr>
        <w:t xml:space="preserve">Place of </w:t>
      </w:r>
      <w:r w:rsidR="00AA444C" w:rsidRPr="0040109C">
        <w:rPr>
          <w:rFonts w:ascii="Arial" w:hAnsi="Arial" w:cs="Arial"/>
          <w:b/>
          <w:sz w:val="24"/>
          <w:szCs w:val="24"/>
        </w:rPr>
        <w:t>U</w:t>
      </w:r>
      <w:r w:rsidRPr="0040109C">
        <w:rPr>
          <w:rFonts w:ascii="Arial" w:hAnsi="Arial" w:cs="Arial"/>
          <w:b/>
          <w:sz w:val="24"/>
          <w:szCs w:val="24"/>
        </w:rPr>
        <w:t xml:space="preserve">sual </w:t>
      </w:r>
      <w:r w:rsidR="00AA444C" w:rsidRPr="0040109C">
        <w:rPr>
          <w:rFonts w:ascii="Arial" w:hAnsi="Arial" w:cs="Arial"/>
          <w:b/>
          <w:sz w:val="24"/>
          <w:szCs w:val="24"/>
        </w:rPr>
        <w:t>R</w:t>
      </w:r>
      <w:r w:rsidRPr="0040109C">
        <w:rPr>
          <w:rFonts w:ascii="Arial" w:hAnsi="Arial" w:cs="Arial"/>
          <w:b/>
          <w:sz w:val="24"/>
          <w:szCs w:val="24"/>
        </w:rPr>
        <w:t xml:space="preserve">esidence </w:t>
      </w:r>
      <w:r w:rsidR="00AA444C" w:rsidRPr="0040109C">
        <w:rPr>
          <w:rFonts w:ascii="Arial" w:hAnsi="Arial" w:cs="Arial"/>
          <w:b/>
          <w:sz w:val="24"/>
          <w:szCs w:val="24"/>
        </w:rPr>
        <w:t>one</w:t>
      </w:r>
      <w:r w:rsidRPr="0040109C">
        <w:rPr>
          <w:rFonts w:ascii="Arial" w:hAnsi="Arial" w:cs="Arial"/>
          <w:b/>
          <w:sz w:val="24"/>
          <w:szCs w:val="24"/>
        </w:rPr>
        <w:t xml:space="preserve"> year ago (all persons who moved, excluding persons aged under </w:t>
      </w:r>
      <w:r w:rsidR="00AA444C" w:rsidRPr="0040109C">
        <w:rPr>
          <w:rFonts w:ascii="Arial" w:hAnsi="Arial" w:cs="Arial"/>
          <w:b/>
          <w:sz w:val="24"/>
          <w:szCs w:val="24"/>
        </w:rPr>
        <w:t>one</w:t>
      </w:r>
      <w:r w:rsidRPr="0040109C">
        <w:rPr>
          <w:rFonts w:ascii="Arial" w:hAnsi="Arial" w:cs="Arial"/>
          <w:b/>
          <w:sz w:val="24"/>
          <w:szCs w:val="24"/>
        </w:rPr>
        <w:t xml:space="preserve"> year)</w:t>
      </w: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</w:rPr>
      </w:pPr>
    </w:p>
    <w:p w:rsidR="0040109C" w:rsidRPr="0040109C" w:rsidRDefault="00506578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</w:rPr>
        <w:t>Western Australia</w:t>
      </w:r>
    </w:p>
    <w:tbl>
      <w:tblPr>
        <w:tblStyle w:val="TableGrid"/>
        <w:tblW w:w="7200" w:type="dxa"/>
        <w:jc w:val="center"/>
        <w:tblInd w:w="-1462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743"/>
        <w:gridCol w:w="2742"/>
        <w:gridCol w:w="2715"/>
      </w:tblGrid>
      <w:tr w:rsidR="00876538" w:rsidTr="009850F9">
        <w:trPr>
          <w:trHeight w:val="269"/>
          <w:jc w:val="center"/>
        </w:trPr>
        <w:tc>
          <w:tcPr>
            <w:tcW w:w="174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76538" w:rsidRPr="002E42CC" w:rsidRDefault="00876538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43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286,942 (77.7%)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291,298 (81.4%)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43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32,773 (8.9%)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26,784 (7.5%)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43" w:type="dxa"/>
            <w:shd w:val="clear" w:color="auto" w:fill="8DB3E2" w:themeFill="text2" w:themeFillTint="66"/>
            <w:vAlign w:val="bottom"/>
          </w:tcPr>
          <w:p w:rsidR="0009078C" w:rsidRPr="00D413DF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45,825 (12.4%)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36,290 (10.1%)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43" w:type="dxa"/>
            <w:shd w:val="clear" w:color="auto" w:fill="8DB3E2" w:themeFill="text2" w:themeFillTint="66"/>
            <w:vAlign w:val="bottom"/>
          </w:tcPr>
          <w:p w:rsidR="0009078C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369,199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357,737 (100.0%)</w:t>
            </w:r>
          </w:p>
        </w:tc>
      </w:tr>
    </w:tbl>
    <w:p w:rsidR="000F1681" w:rsidRPr="0007719F" w:rsidRDefault="000F1681" w:rsidP="00494200">
      <w:pPr>
        <w:rPr>
          <w:rFonts w:ascii="Arial" w:hAnsi="Arial" w:cs="Arial"/>
          <w:b/>
        </w:rPr>
      </w:pPr>
    </w:p>
    <w:p w:rsidR="00494200" w:rsidRPr="0040109C" w:rsidRDefault="00494200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0109C">
        <w:rPr>
          <w:rFonts w:ascii="Arial" w:hAnsi="Arial" w:cs="Arial"/>
          <w:b/>
          <w:sz w:val="24"/>
          <w:szCs w:val="24"/>
        </w:rPr>
        <w:t xml:space="preserve">Place of </w:t>
      </w:r>
      <w:r w:rsidR="00AA444C" w:rsidRPr="0040109C">
        <w:rPr>
          <w:rFonts w:ascii="Arial" w:hAnsi="Arial" w:cs="Arial"/>
          <w:b/>
          <w:sz w:val="24"/>
          <w:szCs w:val="24"/>
        </w:rPr>
        <w:t>U</w:t>
      </w:r>
      <w:r w:rsidRPr="0040109C">
        <w:rPr>
          <w:rFonts w:ascii="Arial" w:hAnsi="Arial" w:cs="Arial"/>
          <w:b/>
          <w:sz w:val="24"/>
          <w:szCs w:val="24"/>
        </w:rPr>
        <w:t xml:space="preserve">sual </w:t>
      </w:r>
      <w:r w:rsidR="00AA444C" w:rsidRPr="0040109C">
        <w:rPr>
          <w:rFonts w:ascii="Arial" w:hAnsi="Arial" w:cs="Arial"/>
          <w:b/>
          <w:sz w:val="24"/>
          <w:szCs w:val="24"/>
        </w:rPr>
        <w:t>R</w:t>
      </w:r>
      <w:r w:rsidRPr="0040109C">
        <w:rPr>
          <w:rFonts w:ascii="Arial" w:hAnsi="Arial" w:cs="Arial"/>
          <w:b/>
          <w:sz w:val="24"/>
          <w:szCs w:val="24"/>
        </w:rPr>
        <w:t xml:space="preserve">esidence </w:t>
      </w:r>
      <w:r w:rsidR="00AA444C" w:rsidRPr="0040109C">
        <w:rPr>
          <w:rFonts w:ascii="Arial" w:hAnsi="Arial" w:cs="Arial"/>
          <w:b/>
          <w:sz w:val="24"/>
          <w:szCs w:val="24"/>
        </w:rPr>
        <w:t>five</w:t>
      </w:r>
      <w:r w:rsidRPr="0040109C">
        <w:rPr>
          <w:rFonts w:ascii="Arial" w:hAnsi="Arial" w:cs="Arial"/>
          <w:b/>
          <w:sz w:val="24"/>
          <w:szCs w:val="24"/>
        </w:rPr>
        <w:t xml:space="preserve"> years ago (all persons who moved, excluding persons aged under </w:t>
      </w:r>
      <w:r w:rsidR="00AA444C" w:rsidRPr="0040109C">
        <w:rPr>
          <w:rFonts w:ascii="Arial" w:hAnsi="Arial" w:cs="Arial"/>
          <w:b/>
          <w:sz w:val="24"/>
          <w:szCs w:val="24"/>
        </w:rPr>
        <w:t>five</w:t>
      </w:r>
      <w:r w:rsidRPr="0040109C">
        <w:rPr>
          <w:rFonts w:ascii="Arial" w:hAnsi="Arial" w:cs="Arial"/>
          <w:b/>
          <w:sz w:val="24"/>
          <w:szCs w:val="24"/>
        </w:rPr>
        <w:t xml:space="preserve"> year</w:t>
      </w:r>
      <w:r w:rsidR="00AA444C" w:rsidRPr="0040109C">
        <w:rPr>
          <w:rFonts w:ascii="Arial" w:hAnsi="Arial" w:cs="Arial"/>
          <w:b/>
          <w:sz w:val="24"/>
          <w:szCs w:val="24"/>
        </w:rPr>
        <w:t>s</w:t>
      </w:r>
      <w:r w:rsidRPr="0040109C">
        <w:rPr>
          <w:rFonts w:ascii="Arial" w:hAnsi="Arial" w:cs="Arial"/>
          <w:b/>
          <w:sz w:val="24"/>
          <w:szCs w:val="24"/>
        </w:rPr>
        <w:t>)</w:t>
      </w: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</w:rPr>
      </w:pP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</w:rPr>
      </w:pPr>
    </w:p>
    <w:p w:rsidR="00876538" w:rsidRDefault="00506578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>Western Australia</w:t>
      </w:r>
    </w:p>
    <w:tbl>
      <w:tblPr>
        <w:tblStyle w:val="TableGrid"/>
        <w:tblW w:w="7183" w:type="dxa"/>
        <w:jc w:val="center"/>
        <w:tblInd w:w="-1445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726"/>
        <w:gridCol w:w="2742"/>
        <w:gridCol w:w="2715"/>
      </w:tblGrid>
      <w:tr w:rsidR="00876538" w:rsidTr="009850F9">
        <w:trPr>
          <w:trHeight w:val="269"/>
          <w:jc w:val="center"/>
        </w:trPr>
        <w:tc>
          <w:tcPr>
            <w:tcW w:w="172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76538" w:rsidRPr="002E42CC" w:rsidRDefault="00876538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26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619,339 (69.8%)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638,781 (78.5%)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26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79,727 (9.0%)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64,364 (7.9%)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26" w:type="dxa"/>
            <w:shd w:val="clear" w:color="auto" w:fill="8DB3E2" w:themeFill="text2" w:themeFillTint="66"/>
            <w:vAlign w:val="bottom"/>
          </w:tcPr>
          <w:p w:rsidR="0009078C" w:rsidRPr="00D413DF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179,450 (20.2%)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101,091 (12.4%)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26" w:type="dxa"/>
            <w:shd w:val="clear" w:color="auto" w:fill="8DB3E2" w:themeFill="text2" w:themeFillTint="66"/>
            <w:vAlign w:val="bottom"/>
          </w:tcPr>
          <w:p w:rsidR="0009078C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887,428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813,959 (100.0%)</w:t>
            </w:r>
          </w:p>
        </w:tc>
      </w:tr>
    </w:tbl>
    <w:p w:rsidR="00494200" w:rsidRDefault="00494200" w:rsidP="00494200"/>
    <w:p w:rsidR="00494200" w:rsidRDefault="00494200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Place of Usual Residence (all persons who moved)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Pr="008C7C50" w:rsidRDefault="00DD1B91" w:rsidP="00DD1B91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7C50">
        <w:rPr>
          <w:rFonts w:ascii="Arial" w:hAnsi="Arial" w:cs="Arial"/>
          <w:b/>
          <w:sz w:val="28"/>
          <w:szCs w:val="28"/>
        </w:rPr>
        <w:t>States and Territories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39D" w:rsidRDefault="00DD139D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94200" w:rsidRPr="0040109C" w:rsidRDefault="00494200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0109C">
        <w:rPr>
          <w:rFonts w:ascii="Arial" w:hAnsi="Arial" w:cs="Arial"/>
          <w:b/>
          <w:sz w:val="24"/>
          <w:szCs w:val="24"/>
        </w:rPr>
        <w:t xml:space="preserve">Place of </w:t>
      </w:r>
      <w:r w:rsidR="00AA444C" w:rsidRPr="0040109C">
        <w:rPr>
          <w:rFonts w:ascii="Arial" w:hAnsi="Arial" w:cs="Arial"/>
          <w:b/>
          <w:sz w:val="24"/>
          <w:szCs w:val="24"/>
        </w:rPr>
        <w:t>U</w:t>
      </w:r>
      <w:r w:rsidRPr="0040109C">
        <w:rPr>
          <w:rFonts w:ascii="Arial" w:hAnsi="Arial" w:cs="Arial"/>
          <w:b/>
          <w:sz w:val="24"/>
          <w:szCs w:val="24"/>
        </w:rPr>
        <w:t xml:space="preserve">sual </w:t>
      </w:r>
      <w:r w:rsidR="00AA444C" w:rsidRPr="0040109C">
        <w:rPr>
          <w:rFonts w:ascii="Arial" w:hAnsi="Arial" w:cs="Arial"/>
          <w:b/>
          <w:sz w:val="24"/>
          <w:szCs w:val="24"/>
        </w:rPr>
        <w:t>R</w:t>
      </w:r>
      <w:r w:rsidRPr="0040109C">
        <w:rPr>
          <w:rFonts w:ascii="Arial" w:hAnsi="Arial" w:cs="Arial"/>
          <w:b/>
          <w:sz w:val="24"/>
          <w:szCs w:val="24"/>
        </w:rPr>
        <w:t xml:space="preserve">esidence </w:t>
      </w:r>
      <w:r w:rsidR="00AA444C" w:rsidRPr="0040109C">
        <w:rPr>
          <w:rFonts w:ascii="Arial" w:hAnsi="Arial" w:cs="Arial"/>
          <w:b/>
          <w:sz w:val="24"/>
          <w:szCs w:val="24"/>
        </w:rPr>
        <w:t>one</w:t>
      </w:r>
      <w:r w:rsidRPr="0040109C">
        <w:rPr>
          <w:rFonts w:ascii="Arial" w:hAnsi="Arial" w:cs="Arial"/>
          <w:b/>
          <w:sz w:val="24"/>
          <w:szCs w:val="24"/>
        </w:rPr>
        <w:t xml:space="preserve"> year ago (all persons who moved, excluding persons aged under </w:t>
      </w:r>
      <w:r w:rsidR="00AA444C" w:rsidRPr="0040109C">
        <w:rPr>
          <w:rFonts w:ascii="Arial" w:hAnsi="Arial" w:cs="Arial"/>
          <w:b/>
          <w:sz w:val="24"/>
          <w:szCs w:val="24"/>
        </w:rPr>
        <w:t>one</w:t>
      </w:r>
      <w:r w:rsidRPr="0040109C">
        <w:rPr>
          <w:rFonts w:ascii="Arial" w:hAnsi="Arial" w:cs="Arial"/>
          <w:b/>
          <w:sz w:val="24"/>
          <w:szCs w:val="24"/>
        </w:rPr>
        <w:t xml:space="preserve"> year)</w:t>
      </w: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</w:rPr>
      </w:pPr>
    </w:p>
    <w:p w:rsidR="00876538" w:rsidRDefault="00506578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>Northern Territory</w:t>
      </w:r>
    </w:p>
    <w:tbl>
      <w:tblPr>
        <w:tblStyle w:val="TableGrid"/>
        <w:tblW w:w="7186" w:type="dxa"/>
        <w:jc w:val="center"/>
        <w:tblInd w:w="-144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729"/>
        <w:gridCol w:w="2742"/>
        <w:gridCol w:w="2715"/>
      </w:tblGrid>
      <w:tr w:rsidR="00876538" w:rsidTr="009850F9">
        <w:trPr>
          <w:trHeight w:val="269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76538" w:rsidRPr="002E42CC" w:rsidRDefault="00876538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29" w:type="dxa"/>
            <w:shd w:val="clear" w:color="auto" w:fill="8DB3E2" w:themeFill="text2" w:themeFillTint="66"/>
            <w:vAlign w:val="bottom"/>
          </w:tcPr>
          <w:p w:rsidR="0009078C" w:rsidRPr="007139A3" w:rsidRDefault="00DD139D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Territory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23,045 (57.9%)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23,211 (39.5%)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29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12,837 (32.2%)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spacing w:before="24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12,977(22.1%)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29" w:type="dxa"/>
            <w:shd w:val="clear" w:color="auto" w:fill="8DB3E2" w:themeFill="text2" w:themeFillTint="66"/>
            <w:vAlign w:val="bottom"/>
          </w:tcPr>
          <w:p w:rsidR="0009078C" w:rsidRPr="00D413DF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3,363 (8.4%)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2,291 (3.9%)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29" w:type="dxa"/>
            <w:shd w:val="clear" w:color="auto" w:fill="8DB3E2" w:themeFill="text2" w:themeFillTint="66"/>
            <w:vAlign w:val="bottom"/>
          </w:tcPr>
          <w:p w:rsidR="0009078C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39,818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58,799(100.0%)</w:t>
            </w:r>
          </w:p>
        </w:tc>
      </w:tr>
    </w:tbl>
    <w:p w:rsidR="00494200" w:rsidRDefault="00494200" w:rsidP="00494200"/>
    <w:p w:rsidR="00494200" w:rsidRPr="0040109C" w:rsidRDefault="00494200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0109C">
        <w:rPr>
          <w:rFonts w:ascii="Arial" w:hAnsi="Arial" w:cs="Arial"/>
          <w:b/>
          <w:sz w:val="24"/>
          <w:szCs w:val="24"/>
        </w:rPr>
        <w:t xml:space="preserve">Place of </w:t>
      </w:r>
      <w:r w:rsidR="00D3443C" w:rsidRPr="0040109C">
        <w:rPr>
          <w:rFonts w:ascii="Arial" w:hAnsi="Arial" w:cs="Arial"/>
          <w:b/>
          <w:sz w:val="24"/>
          <w:szCs w:val="24"/>
        </w:rPr>
        <w:t>U</w:t>
      </w:r>
      <w:r w:rsidRPr="0040109C">
        <w:rPr>
          <w:rFonts w:ascii="Arial" w:hAnsi="Arial" w:cs="Arial"/>
          <w:b/>
          <w:sz w:val="24"/>
          <w:szCs w:val="24"/>
        </w:rPr>
        <w:t xml:space="preserve">sual </w:t>
      </w:r>
      <w:r w:rsidR="00D3443C" w:rsidRPr="0040109C">
        <w:rPr>
          <w:rFonts w:ascii="Arial" w:hAnsi="Arial" w:cs="Arial"/>
          <w:b/>
          <w:sz w:val="24"/>
          <w:szCs w:val="24"/>
        </w:rPr>
        <w:t>R</w:t>
      </w:r>
      <w:r w:rsidRPr="0040109C">
        <w:rPr>
          <w:rFonts w:ascii="Arial" w:hAnsi="Arial" w:cs="Arial"/>
          <w:b/>
          <w:sz w:val="24"/>
          <w:szCs w:val="24"/>
        </w:rPr>
        <w:t xml:space="preserve">esidence </w:t>
      </w:r>
      <w:r w:rsidR="00D3443C" w:rsidRPr="0040109C">
        <w:rPr>
          <w:rFonts w:ascii="Arial" w:hAnsi="Arial" w:cs="Arial"/>
          <w:b/>
          <w:sz w:val="24"/>
          <w:szCs w:val="24"/>
        </w:rPr>
        <w:t>five</w:t>
      </w:r>
      <w:r w:rsidRPr="0040109C">
        <w:rPr>
          <w:rFonts w:ascii="Arial" w:hAnsi="Arial" w:cs="Arial"/>
          <w:b/>
          <w:sz w:val="24"/>
          <w:szCs w:val="24"/>
        </w:rPr>
        <w:t xml:space="preserve"> years ago (all persons who moved, excluding persons aged under </w:t>
      </w:r>
      <w:r w:rsidR="00D3443C" w:rsidRPr="0040109C">
        <w:rPr>
          <w:rFonts w:ascii="Arial" w:hAnsi="Arial" w:cs="Arial"/>
          <w:b/>
          <w:sz w:val="24"/>
          <w:szCs w:val="24"/>
        </w:rPr>
        <w:t>five</w:t>
      </w:r>
      <w:r w:rsidRPr="0040109C">
        <w:rPr>
          <w:rFonts w:ascii="Arial" w:hAnsi="Arial" w:cs="Arial"/>
          <w:b/>
          <w:sz w:val="24"/>
          <w:szCs w:val="24"/>
        </w:rPr>
        <w:t xml:space="preserve"> year</w:t>
      </w:r>
      <w:r w:rsidR="00D3443C" w:rsidRPr="0040109C">
        <w:rPr>
          <w:rFonts w:ascii="Arial" w:hAnsi="Arial" w:cs="Arial"/>
          <w:b/>
          <w:sz w:val="24"/>
          <w:szCs w:val="24"/>
        </w:rPr>
        <w:t>s</w:t>
      </w:r>
      <w:r w:rsidRPr="0040109C">
        <w:rPr>
          <w:rFonts w:ascii="Arial" w:hAnsi="Arial" w:cs="Arial"/>
          <w:b/>
          <w:sz w:val="24"/>
          <w:szCs w:val="24"/>
        </w:rPr>
        <w:t>)</w:t>
      </w: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</w:rPr>
      </w:pPr>
    </w:p>
    <w:p w:rsidR="00876538" w:rsidRDefault="00506578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>Northern Territory</w:t>
      </w:r>
    </w:p>
    <w:tbl>
      <w:tblPr>
        <w:tblStyle w:val="TableGrid"/>
        <w:tblW w:w="7218" w:type="dxa"/>
        <w:jc w:val="center"/>
        <w:tblInd w:w="-1480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761"/>
        <w:gridCol w:w="2742"/>
        <w:gridCol w:w="2715"/>
      </w:tblGrid>
      <w:tr w:rsidR="00876538" w:rsidTr="009850F9">
        <w:trPr>
          <w:trHeight w:val="269"/>
          <w:jc w:val="center"/>
        </w:trPr>
        <w:tc>
          <w:tcPr>
            <w:tcW w:w="176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76538" w:rsidRPr="002E42CC" w:rsidRDefault="00876538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61" w:type="dxa"/>
            <w:shd w:val="clear" w:color="auto" w:fill="8DB3E2" w:themeFill="text2" w:themeFillTint="66"/>
            <w:vAlign w:val="bottom"/>
          </w:tcPr>
          <w:p w:rsidR="0009078C" w:rsidRPr="007139A3" w:rsidRDefault="00DD139D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Territory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38,382 (46.9%)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38,740 (52.0%)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61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30,813 (37.6%)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29,569 (39.0%)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61" w:type="dxa"/>
            <w:shd w:val="clear" w:color="auto" w:fill="8DB3E2" w:themeFill="text2" w:themeFillTint="66"/>
            <w:vAlign w:val="bottom"/>
          </w:tcPr>
          <w:p w:rsidR="0009078C" w:rsidRPr="00D413DF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11,485 (14.0%)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5,627 (7.0%)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61" w:type="dxa"/>
            <w:shd w:val="clear" w:color="auto" w:fill="8DB3E2" w:themeFill="text2" w:themeFillTint="66"/>
            <w:vAlign w:val="bottom"/>
          </w:tcPr>
          <w:p w:rsidR="0009078C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81,924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75,047 (100.0%)</w:t>
            </w:r>
          </w:p>
        </w:tc>
      </w:tr>
    </w:tbl>
    <w:p w:rsidR="00876538" w:rsidRPr="00A25918" w:rsidRDefault="00876538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94200" w:rsidRDefault="00494200" w:rsidP="00494200"/>
    <w:p w:rsidR="00494200" w:rsidRDefault="00494200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Pr="006B4BFF" w:rsidRDefault="000F1681" w:rsidP="00494200">
      <w:pPr>
        <w:rPr>
          <w:rFonts w:ascii="Arial" w:hAnsi="Arial" w:cs="Arial"/>
          <w:b/>
        </w:rPr>
      </w:pPr>
    </w:p>
    <w:p w:rsidR="0040109C" w:rsidRDefault="0040109C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0109C" w:rsidRDefault="0040109C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Place of Usual Residence (all persons who moved)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Pr="008C7C50" w:rsidRDefault="00DD1B91" w:rsidP="00DD1B91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7C50">
        <w:rPr>
          <w:rFonts w:ascii="Arial" w:hAnsi="Arial" w:cs="Arial"/>
          <w:b/>
          <w:sz w:val="28"/>
          <w:szCs w:val="28"/>
        </w:rPr>
        <w:t>States and Territories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9850F9" w:rsidRDefault="009850F9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94200" w:rsidRPr="0040109C" w:rsidRDefault="0040109C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</w:t>
      </w:r>
      <w:r w:rsidR="00494200" w:rsidRPr="0040109C">
        <w:rPr>
          <w:rFonts w:ascii="Arial" w:hAnsi="Arial" w:cs="Arial"/>
          <w:b/>
          <w:sz w:val="24"/>
          <w:szCs w:val="24"/>
        </w:rPr>
        <w:t xml:space="preserve">lace of </w:t>
      </w:r>
      <w:r w:rsidR="00D3443C" w:rsidRPr="0040109C">
        <w:rPr>
          <w:rFonts w:ascii="Arial" w:hAnsi="Arial" w:cs="Arial"/>
          <w:b/>
          <w:sz w:val="24"/>
          <w:szCs w:val="24"/>
        </w:rPr>
        <w:t>U</w:t>
      </w:r>
      <w:r w:rsidR="00494200" w:rsidRPr="0040109C">
        <w:rPr>
          <w:rFonts w:ascii="Arial" w:hAnsi="Arial" w:cs="Arial"/>
          <w:b/>
          <w:sz w:val="24"/>
          <w:szCs w:val="24"/>
        </w:rPr>
        <w:t xml:space="preserve">sual </w:t>
      </w:r>
      <w:r w:rsidR="00D3443C" w:rsidRPr="0040109C">
        <w:rPr>
          <w:rFonts w:ascii="Arial" w:hAnsi="Arial" w:cs="Arial"/>
          <w:b/>
          <w:sz w:val="24"/>
          <w:szCs w:val="24"/>
        </w:rPr>
        <w:t>R</w:t>
      </w:r>
      <w:r w:rsidR="00494200" w:rsidRPr="0040109C">
        <w:rPr>
          <w:rFonts w:ascii="Arial" w:hAnsi="Arial" w:cs="Arial"/>
          <w:b/>
          <w:sz w:val="24"/>
          <w:szCs w:val="24"/>
        </w:rPr>
        <w:t xml:space="preserve">esidence </w:t>
      </w:r>
      <w:r w:rsidR="00D3443C" w:rsidRPr="0040109C">
        <w:rPr>
          <w:rFonts w:ascii="Arial" w:hAnsi="Arial" w:cs="Arial"/>
          <w:b/>
          <w:sz w:val="24"/>
          <w:szCs w:val="24"/>
        </w:rPr>
        <w:t>one</w:t>
      </w:r>
      <w:r w:rsidR="00494200" w:rsidRPr="0040109C">
        <w:rPr>
          <w:rFonts w:ascii="Arial" w:hAnsi="Arial" w:cs="Arial"/>
          <w:b/>
          <w:sz w:val="24"/>
          <w:szCs w:val="24"/>
        </w:rPr>
        <w:t xml:space="preserve"> year ago (all persons who moved, excluding persons aged under </w:t>
      </w:r>
      <w:r w:rsidR="00D3443C" w:rsidRPr="0040109C">
        <w:rPr>
          <w:rFonts w:ascii="Arial" w:hAnsi="Arial" w:cs="Arial"/>
          <w:b/>
          <w:sz w:val="24"/>
          <w:szCs w:val="24"/>
        </w:rPr>
        <w:t>one</w:t>
      </w:r>
      <w:r w:rsidR="00494200" w:rsidRPr="0040109C">
        <w:rPr>
          <w:rFonts w:ascii="Arial" w:hAnsi="Arial" w:cs="Arial"/>
          <w:b/>
          <w:sz w:val="24"/>
          <w:szCs w:val="24"/>
        </w:rPr>
        <w:t xml:space="preserve"> year)</w:t>
      </w: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</w:rPr>
      </w:pPr>
    </w:p>
    <w:p w:rsidR="00876538" w:rsidRDefault="00506578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>Tasmania</w:t>
      </w:r>
    </w:p>
    <w:tbl>
      <w:tblPr>
        <w:tblStyle w:val="TableGrid"/>
        <w:tblW w:w="7186" w:type="dxa"/>
        <w:jc w:val="center"/>
        <w:tblInd w:w="-1448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729"/>
        <w:gridCol w:w="2742"/>
        <w:gridCol w:w="2715"/>
      </w:tblGrid>
      <w:tr w:rsidR="00876538" w:rsidTr="009850F9">
        <w:trPr>
          <w:trHeight w:val="269"/>
          <w:jc w:val="center"/>
        </w:trPr>
        <w:tc>
          <w:tcPr>
            <w:tcW w:w="172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76538" w:rsidRPr="002E42CC" w:rsidRDefault="00876538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29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53,427 (78.7%)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spacing w:line="360" w:lineRule="auto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55,076 (79.5%)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29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10,412 (15.3%)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10,288 (14.8%)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29" w:type="dxa"/>
            <w:shd w:val="clear" w:color="auto" w:fill="8DB3E2" w:themeFill="text2" w:themeFillTint="66"/>
            <w:vAlign w:val="bottom"/>
          </w:tcPr>
          <w:p w:rsidR="0009078C" w:rsidRPr="00D413DF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3,368 (5.0%)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3,190 (4.6%)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29" w:type="dxa"/>
            <w:shd w:val="clear" w:color="auto" w:fill="8DB3E2" w:themeFill="text2" w:themeFillTint="66"/>
            <w:vAlign w:val="bottom"/>
          </w:tcPr>
          <w:p w:rsidR="0009078C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67,892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69,282 (100.0%)</w:t>
            </w:r>
          </w:p>
        </w:tc>
      </w:tr>
    </w:tbl>
    <w:p w:rsidR="00876538" w:rsidRPr="00A25918" w:rsidRDefault="00876538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3443C" w:rsidRDefault="00D3443C" w:rsidP="000F1681">
      <w:pPr>
        <w:spacing w:after="0"/>
        <w:ind w:left="360"/>
        <w:jc w:val="center"/>
        <w:rPr>
          <w:rFonts w:ascii="Arial" w:hAnsi="Arial" w:cs="Arial"/>
          <w:b/>
        </w:rPr>
      </w:pPr>
    </w:p>
    <w:p w:rsidR="0007719F" w:rsidRPr="0040109C" w:rsidRDefault="00494200" w:rsidP="000F1681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0109C">
        <w:rPr>
          <w:rFonts w:ascii="Arial" w:hAnsi="Arial" w:cs="Arial"/>
          <w:b/>
          <w:sz w:val="24"/>
          <w:szCs w:val="24"/>
        </w:rPr>
        <w:t xml:space="preserve">Place of </w:t>
      </w:r>
      <w:r w:rsidR="00D3443C" w:rsidRPr="0040109C">
        <w:rPr>
          <w:rFonts w:ascii="Arial" w:hAnsi="Arial" w:cs="Arial"/>
          <w:b/>
          <w:sz w:val="24"/>
          <w:szCs w:val="24"/>
        </w:rPr>
        <w:t>U</w:t>
      </w:r>
      <w:r w:rsidRPr="0040109C">
        <w:rPr>
          <w:rFonts w:ascii="Arial" w:hAnsi="Arial" w:cs="Arial"/>
          <w:b/>
          <w:sz w:val="24"/>
          <w:szCs w:val="24"/>
        </w:rPr>
        <w:t xml:space="preserve">sual </w:t>
      </w:r>
      <w:r w:rsidR="00D3443C" w:rsidRPr="0040109C">
        <w:rPr>
          <w:rFonts w:ascii="Arial" w:hAnsi="Arial" w:cs="Arial"/>
          <w:b/>
          <w:sz w:val="24"/>
          <w:szCs w:val="24"/>
        </w:rPr>
        <w:t>R</w:t>
      </w:r>
      <w:r w:rsidRPr="0040109C">
        <w:rPr>
          <w:rFonts w:ascii="Arial" w:hAnsi="Arial" w:cs="Arial"/>
          <w:b/>
          <w:sz w:val="24"/>
          <w:szCs w:val="24"/>
        </w:rPr>
        <w:t xml:space="preserve">esidence </w:t>
      </w:r>
      <w:r w:rsidR="00D3443C" w:rsidRPr="0040109C">
        <w:rPr>
          <w:rFonts w:ascii="Arial" w:hAnsi="Arial" w:cs="Arial"/>
          <w:b/>
          <w:sz w:val="24"/>
          <w:szCs w:val="24"/>
        </w:rPr>
        <w:t>five</w:t>
      </w:r>
      <w:r w:rsidRPr="0040109C">
        <w:rPr>
          <w:rFonts w:ascii="Arial" w:hAnsi="Arial" w:cs="Arial"/>
          <w:b/>
          <w:sz w:val="24"/>
          <w:szCs w:val="24"/>
        </w:rPr>
        <w:t xml:space="preserve"> years ago (all persons who moved, exclu</w:t>
      </w:r>
      <w:r w:rsidR="000F1681" w:rsidRPr="0040109C">
        <w:rPr>
          <w:rFonts w:ascii="Arial" w:hAnsi="Arial" w:cs="Arial"/>
          <w:b/>
          <w:sz w:val="24"/>
          <w:szCs w:val="24"/>
        </w:rPr>
        <w:t xml:space="preserve">ding persons aged under </w:t>
      </w:r>
      <w:r w:rsidR="00D3443C" w:rsidRPr="0040109C">
        <w:rPr>
          <w:rFonts w:ascii="Arial" w:hAnsi="Arial" w:cs="Arial"/>
          <w:b/>
          <w:sz w:val="24"/>
          <w:szCs w:val="24"/>
        </w:rPr>
        <w:t>five</w:t>
      </w:r>
      <w:r w:rsidR="000F1681" w:rsidRPr="0040109C">
        <w:rPr>
          <w:rFonts w:ascii="Arial" w:hAnsi="Arial" w:cs="Arial"/>
          <w:b/>
          <w:sz w:val="24"/>
          <w:szCs w:val="24"/>
        </w:rPr>
        <w:t xml:space="preserve"> year</w:t>
      </w:r>
      <w:r w:rsidR="00D3443C" w:rsidRPr="0040109C">
        <w:rPr>
          <w:rFonts w:ascii="Arial" w:hAnsi="Arial" w:cs="Arial"/>
          <w:b/>
          <w:sz w:val="24"/>
          <w:szCs w:val="24"/>
        </w:rPr>
        <w:t>s</w:t>
      </w:r>
      <w:r w:rsidR="000F1681" w:rsidRPr="0040109C">
        <w:rPr>
          <w:rFonts w:ascii="Arial" w:hAnsi="Arial" w:cs="Arial"/>
          <w:b/>
          <w:sz w:val="24"/>
          <w:szCs w:val="24"/>
        </w:rPr>
        <w:t>)</w:t>
      </w:r>
    </w:p>
    <w:p w:rsidR="00506578" w:rsidRDefault="00506578" w:rsidP="000F1681">
      <w:pPr>
        <w:spacing w:after="0"/>
        <w:ind w:left="360"/>
        <w:jc w:val="center"/>
        <w:rPr>
          <w:rFonts w:ascii="Arial" w:hAnsi="Arial" w:cs="Arial"/>
          <w:b/>
        </w:rPr>
      </w:pPr>
    </w:p>
    <w:p w:rsidR="00876538" w:rsidRDefault="00506578" w:rsidP="000F168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>Tasmania</w:t>
      </w:r>
    </w:p>
    <w:tbl>
      <w:tblPr>
        <w:tblStyle w:val="TableGrid"/>
        <w:tblW w:w="7183" w:type="dxa"/>
        <w:jc w:val="center"/>
        <w:tblInd w:w="-1445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726"/>
        <w:gridCol w:w="2742"/>
        <w:gridCol w:w="2715"/>
      </w:tblGrid>
      <w:tr w:rsidR="00876538" w:rsidTr="009850F9">
        <w:trPr>
          <w:trHeight w:val="269"/>
          <w:jc w:val="center"/>
        </w:trPr>
        <w:tc>
          <w:tcPr>
            <w:tcW w:w="1726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76538" w:rsidRPr="002E42CC" w:rsidRDefault="00876538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26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124,738 (74.0%)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128,552 (75.0%)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26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30,494 (18.1%)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32,752 (19.0%)</w:t>
            </w:r>
          </w:p>
        </w:tc>
      </w:tr>
      <w:tr w:rsidR="0009078C" w:rsidTr="009850F9">
        <w:trPr>
          <w:trHeight w:val="226"/>
          <w:jc w:val="center"/>
        </w:trPr>
        <w:tc>
          <w:tcPr>
            <w:tcW w:w="1726" w:type="dxa"/>
            <w:shd w:val="clear" w:color="auto" w:fill="8DB3E2" w:themeFill="text2" w:themeFillTint="66"/>
            <w:vAlign w:val="bottom"/>
          </w:tcPr>
          <w:p w:rsidR="0009078C" w:rsidRPr="00D413DF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11,653 (6.9%)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8,372 (5.0%)</w:t>
            </w:r>
          </w:p>
        </w:tc>
      </w:tr>
      <w:tr w:rsidR="0009078C" w:rsidTr="009850F9">
        <w:trPr>
          <w:trHeight w:val="213"/>
          <w:jc w:val="center"/>
        </w:trPr>
        <w:tc>
          <w:tcPr>
            <w:tcW w:w="1726" w:type="dxa"/>
            <w:shd w:val="clear" w:color="auto" w:fill="8DB3E2" w:themeFill="text2" w:themeFillTint="66"/>
            <w:vAlign w:val="bottom"/>
          </w:tcPr>
          <w:p w:rsidR="0009078C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168,567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171,435 (100.0%)</w:t>
            </w:r>
          </w:p>
        </w:tc>
      </w:tr>
    </w:tbl>
    <w:p w:rsidR="00876538" w:rsidRDefault="00876538" w:rsidP="000F168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94200" w:rsidRDefault="00494200" w:rsidP="00494200"/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0F1681" w:rsidRDefault="000F1681" w:rsidP="00494200">
      <w:pPr>
        <w:rPr>
          <w:rFonts w:ascii="Arial" w:hAnsi="Arial" w:cs="Arial"/>
          <w:b/>
        </w:rPr>
      </w:pPr>
    </w:p>
    <w:p w:rsidR="00506578" w:rsidRDefault="00506578" w:rsidP="00506578">
      <w:pPr>
        <w:spacing w:after="0"/>
        <w:rPr>
          <w:rFonts w:ascii="Arial" w:hAnsi="Arial" w:cs="Arial"/>
          <w:b/>
        </w:rPr>
      </w:pPr>
    </w:p>
    <w:p w:rsidR="00506578" w:rsidRDefault="00506578" w:rsidP="00506578">
      <w:pPr>
        <w:spacing w:after="0"/>
        <w:rPr>
          <w:rFonts w:ascii="Arial" w:hAnsi="Arial" w:cs="Arial"/>
          <w:b/>
          <w:sz w:val="24"/>
          <w:szCs w:val="24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Place of Usual Residence (all persons who moved)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B91" w:rsidRPr="008C7C50" w:rsidRDefault="00DD1B91" w:rsidP="00DD1B91">
      <w:pPr>
        <w:spacing w:after="0"/>
        <w:ind w:left="360"/>
        <w:jc w:val="center"/>
        <w:rPr>
          <w:rFonts w:ascii="Arial" w:hAnsi="Arial" w:cs="Arial"/>
          <w:b/>
          <w:sz w:val="28"/>
          <w:szCs w:val="28"/>
        </w:rPr>
      </w:pPr>
      <w:r w:rsidRPr="008C7C50">
        <w:rPr>
          <w:rFonts w:ascii="Arial" w:hAnsi="Arial" w:cs="Arial"/>
          <w:b/>
          <w:sz w:val="28"/>
          <w:szCs w:val="28"/>
        </w:rPr>
        <w:t>States and Territories</w:t>
      </w:r>
    </w:p>
    <w:p w:rsidR="00DD1B91" w:rsidRDefault="00DD1B91" w:rsidP="00DD1B91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DD139D" w:rsidRDefault="00DD139D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DD139D" w:rsidRDefault="00DD139D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494200" w:rsidRPr="0040109C" w:rsidRDefault="00494200" w:rsidP="00494200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0109C">
        <w:rPr>
          <w:rFonts w:ascii="Arial" w:hAnsi="Arial" w:cs="Arial"/>
          <w:b/>
          <w:sz w:val="24"/>
          <w:szCs w:val="24"/>
        </w:rPr>
        <w:t xml:space="preserve">Place of </w:t>
      </w:r>
      <w:r w:rsidR="00D3443C" w:rsidRPr="0040109C">
        <w:rPr>
          <w:rFonts w:ascii="Arial" w:hAnsi="Arial" w:cs="Arial"/>
          <w:b/>
          <w:sz w:val="24"/>
          <w:szCs w:val="24"/>
        </w:rPr>
        <w:t>U</w:t>
      </w:r>
      <w:r w:rsidRPr="0040109C">
        <w:rPr>
          <w:rFonts w:ascii="Arial" w:hAnsi="Arial" w:cs="Arial"/>
          <w:b/>
          <w:sz w:val="24"/>
          <w:szCs w:val="24"/>
        </w:rPr>
        <w:t xml:space="preserve">sual </w:t>
      </w:r>
      <w:r w:rsidR="00D3443C" w:rsidRPr="0040109C">
        <w:rPr>
          <w:rFonts w:ascii="Arial" w:hAnsi="Arial" w:cs="Arial"/>
          <w:b/>
          <w:sz w:val="24"/>
          <w:szCs w:val="24"/>
        </w:rPr>
        <w:t>R</w:t>
      </w:r>
      <w:r w:rsidRPr="0040109C">
        <w:rPr>
          <w:rFonts w:ascii="Arial" w:hAnsi="Arial" w:cs="Arial"/>
          <w:b/>
          <w:sz w:val="24"/>
          <w:szCs w:val="24"/>
        </w:rPr>
        <w:t xml:space="preserve">esidence </w:t>
      </w:r>
      <w:r w:rsidR="00D3443C" w:rsidRPr="0040109C">
        <w:rPr>
          <w:rFonts w:ascii="Arial" w:hAnsi="Arial" w:cs="Arial"/>
          <w:b/>
          <w:sz w:val="24"/>
          <w:szCs w:val="24"/>
        </w:rPr>
        <w:t>one</w:t>
      </w:r>
      <w:r w:rsidRPr="0040109C">
        <w:rPr>
          <w:rFonts w:ascii="Arial" w:hAnsi="Arial" w:cs="Arial"/>
          <w:b/>
          <w:sz w:val="24"/>
          <w:szCs w:val="24"/>
        </w:rPr>
        <w:t xml:space="preserve"> year ago (all persons who moved, excluding persons aged under </w:t>
      </w:r>
      <w:r w:rsidR="00D3443C" w:rsidRPr="0040109C">
        <w:rPr>
          <w:rFonts w:ascii="Arial" w:hAnsi="Arial" w:cs="Arial"/>
          <w:b/>
          <w:sz w:val="24"/>
          <w:szCs w:val="24"/>
        </w:rPr>
        <w:t>one</w:t>
      </w:r>
      <w:r w:rsidRPr="0040109C">
        <w:rPr>
          <w:rFonts w:ascii="Arial" w:hAnsi="Arial" w:cs="Arial"/>
          <w:b/>
          <w:sz w:val="24"/>
          <w:szCs w:val="24"/>
        </w:rPr>
        <w:t xml:space="preserve"> year)</w:t>
      </w: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</w:rPr>
      </w:pPr>
    </w:p>
    <w:p w:rsidR="00876538" w:rsidRDefault="00506578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>Australian Capital Territory</w:t>
      </w:r>
    </w:p>
    <w:tbl>
      <w:tblPr>
        <w:tblStyle w:val="TableGrid"/>
        <w:tblW w:w="7241" w:type="dxa"/>
        <w:jc w:val="center"/>
        <w:tblInd w:w="-150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784"/>
        <w:gridCol w:w="2742"/>
        <w:gridCol w:w="2715"/>
      </w:tblGrid>
      <w:tr w:rsidR="00876538" w:rsidTr="00E91B5E">
        <w:trPr>
          <w:trHeight w:val="269"/>
          <w:jc w:val="center"/>
        </w:trPr>
        <w:tc>
          <w:tcPr>
            <w:tcW w:w="178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76538" w:rsidRPr="002E42CC" w:rsidRDefault="00876538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9078C" w:rsidTr="00E91B5E">
        <w:trPr>
          <w:trHeight w:val="213"/>
          <w:jc w:val="center"/>
        </w:trPr>
        <w:tc>
          <w:tcPr>
            <w:tcW w:w="1784" w:type="dxa"/>
            <w:shd w:val="clear" w:color="auto" w:fill="8DB3E2" w:themeFill="text2" w:themeFillTint="66"/>
            <w:vAlign w:val="bottom"/>
          </w:tcPr>
          <w:p w:rsidR="0009078C" w:rsidRPr="007139A3" w:rsidRDefault="00DD139D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Territory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36,374 (59.2%)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32,199 (59.3%)</w:t>
            </w:r>
          </w:p>
        </w:tc>
      </w:tr>
      <w:tr w:rsidR="0009078C" w:rsidTr="00E91B5E">
        <w:trPr>
          <w:trHeight w:val="226"/>
          <w:jc w:val="center"/>
        </w:trPr>
        <w:tc>
          <w:tcPr>
            <w:tcW w:w="1784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17,101 (27.8%)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16,008 (29.5%)</w:t>
            </w:r>
          </w:p>
        </w:tc>
      </w:tr>
      <w:tr w:rsidR="0009078C" w:rsidTr="00E91B5E">
        <w:trPr>
          <w:trHeight w:val="226"/>
          <w:jc w:val="center"/>
        </w:trPr>
        <w:tc>
          <w:tcPr>
            <w:tcW w:w="1784" w:type="dxa"/>
            <w:shd w:val="clear" w:color="auto" w:fill="8DB3E2" w:themeFill="text2" w:themeFillTint="66"/>
            <w:vAlign w:val="bottom"/>
          </w:tcPr>
          <w:p w:rsidR="0009078C" w:rsidRPr="00D413DF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7,472 (12.2%)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5,661 (10.4%)</w:t>
            </w:r>
          </w:p>
        </w:tc>
      </w:tr>
      <w:tr w:rsidR="0009078C" w:rsidTr="00E91B5E">
        <w:trPr>
          <w:trHeight w:val="213"/>
          <w:jc w:val="center"/>
        </w:trPr>
        <w:tc>
          <w:tcPr>
            <w:tcW w:w="1784" w:type="dxa"/>
            <w:shd w:val="clear" w:color="auto" w:fill="8DB3E2" w:themeFill="text2" w:themeFillTint="66"/>
            <w:vAlign w:val="bottom"/>
          </w:tcPr>
          <w:p w:rsidR="0009078C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61,408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54,263 (100.0%)</w:t>
            </w:r>
          </w:p>
        </w:tc>
      </w:tr>
    </w:tbl>
    <w:p w:rsidR="00494200" w:rsidRDefault="00494200" w:rsidP="00494200"/>
    <w:p w:rsidR="00876538" w:rsidRDefault="00494200" w:rsidP="0050657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  <w:r w:rsidRPr="0040109C">
        <w:rPr>
          <w:rFonts w:ascii="Arial" w:hAnsi="Arial" w:cs="Arial"/>
          <w:b/>
          <w:sz w:val="24"/>
          <w:szCs w:val="24"/>
        </w:rPr>
        <w:t>Place of usual residence 5 years ago (all persons who moved, excluding persons aged under 5 year)</w:t>
      </w:r>
    </w:p>
    <w:p w:rsidR="00506578" w:rsidRPr="00506578" w:rsidRDefault="00506578" w:rsidP="00506578">
      <w:pPr>
        <w:spacing w:after="0"/>
        <w:ind w:left="360"/>
        <w:jc w:val="center"/>
        <w:rPr>
          <w:rFonts w:ascii="Arial" w:hAnsi="Arial" w:cs="Arial"/>
          <w:b/>
          <w:sz w:val="24"/>
          <w:szCs w:val="24"/>
        </w:rPr>
      </w:pPr>
    </w:p>
    <w:p w:rsidR="00506578" w:rsidRDefault="00506578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</w:rPr>
        <w:t>Australian Capital Territory</w:t>
      </w:r>
    </w:p>
    <w:tbl>
      <w:tblPr>
        <w:tblStyle w:val="TableGrid"/>
        <w:tblW w:w="7271" w:type="dxa"/>
        <w:jc w:val="center"/>
        <w:tblInd w:w="-153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14"/>
        <w:gridCol w:w="2742"/>
        <w:gridCol w:w="2715"/>
      </w:tblGrid>
      <w:tr w:rsidR="00876538" w:rsidTr="00E91B5E">
        <w:trPr>
          <w:trHeight w:val="269"/>
          <w:jc w:val="center"/>
        </w:trPr>
        <w:tc>
          <w:tcPr>
            <w:tcW w:w="181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876538" w:rsidRPr="002E42CC" w:rsidRDefault="00876538" w:rsidP="00876538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2742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715" w:type="dxa"/>
            <w:shd w:val="clear" w:color="auto" w:fill="548DD4" w:themeFill="text2" w:themeFillTint="99"/>
            <w:vAlign w:val="center"/>
          </w:tcPr>
          <w:p w:rsidR="00876538" w:rsidRDefault="00876538" w:rsidP="00506578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09078C" w:rsidTr="00E91B5E">
        <w:trPr>
          <w:trHeight w:val="213"/>
          <w:jc w:val="center"/>
        </w:trPr>
        <w:tc>
          <w:tcPr>
            <w:tcW w:w="1814" w:type="dxa"/>
            <w:shd w:val="clear" w:color="auto" w:fill="8DB3E2" w:themeFill="text2" w:themeFillTint="66"/>
            <w:vAlign w:val="bottom"/>
          </w:tcPr>
          <w:p w:rsidR="0009078C" w:rsidRPr="007139A3" w:rsidRDefault="00DD139D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Within Territory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Pr="00D96A8E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72,494 (50.9%)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68,383 (54.2%)</w:t>
            </w:r>
          </w:p>
        </w:tc>
      </w:tr>
      <w:tr w:rsidR="0009078C" w:rsidTr="00E91B5E">
        <w:trPr>
          <w:trHeight w:val="226"/>
          <w:jc w:val="center"/>
        </w:trPr>
        <w:tc>
          <w:tcPr>
            <w:tcW w:w="1814" w:type="dxa"/>
            <w:shd w:val="clear" w:color="auto" w:fill="8DB3E2" w:themeFill="text2" w:themeFillTint="66"/>
            <w:vAlign w:val="bottom"/>
          </w:tcPr>
          <w:p w:rsidR="0009078C" w:rsidRPr="007139A3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Interstate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45,667 (32.1%)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42,832 (33.9%)</w:t>
            </w:r>
          </w:p>
        </w:tc>
      </w:tr>
      <w:tr w:rsidR="0009078C" w:rsidTr="00E91B5E">
        <w:trPr>
          <w:trHeight w:val="226"/>
          <w:jc w:val="center"/>
        </w:trPr>
        <w:tc>
          <w:tcPr>
            <w:tcW w:w="1814" w:type="dxa"/>
            <w:shd w:val="clear" w:color="auto" w:fill="8DB3E2" w:themeFill="text2" w:themeFillTint="66"/>
            <w:vAlign w:val="bottom"/>
          </w:tcPr>
          <w:p w:rsidR="0009078C" w:rsidRPr="00D413DF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Overseas 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22,955 (16.1%)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14,529 (11.5%)</w:t>
            </w:r>
          </w:p>
        </w:tc>
      </w:tr>
      <w:tr w:rsidR="0009078C" w:rsidTr="00E91B5E">
        <w:trPr>
          <w:trHeight w:val="213"/>
          <w:jc w:val="center"/>
        </w:trPr>
        <w:tc>
          <w:tcPr>
            <w:tcW w:w="1814" w:type="dxa"/>
            <w:shd w:val="clear" w:color="auto" w:fill="8DB3E2" w:themeFill="text2" w:themeFillTint="66"/>
            <w:vAlign w:val="bottom"/>
          </w:tcPr>
          <w:p w:rsidR="0009078C" w:rsidRDefault="0009078C" w:rsidP="0087653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Total persons</w:t>
            </w:r>
          </w:p>
        </w:tc>
        <w:tc>
          <w:tcPr>
            <w:tcW w:w="2742" w:type="dxa"/>
            <w:shd w:val="clear" w:color="auto" w:fill="C6D9F1" w:themeFill="text2" w:themeFillTint="33"/>
            <w:vAlign w:val="bottom"/>
          </w:tcPr>
          <w:p w:rsidR="0009078C" w:rsidRPr="00D96A8E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142,357 (100.0%)</w:t>
            </w:r>
          </w:p>
        </w:tc>
        <w:tc>
          <w:tcPr>
            <w:tcW w:w="2715" w:type="dxa"/>
            <w:shd w:val="clear" w:color="auto" w:fill="C6D9F1" w:themeFill="text2" w:themeFillTint="33"/>
            <w:vAlign w:val="bottom"/>
          </w:tcPr>
          <w:p w:rsidR="0009078C" w:rsidRDefault="0009078C" w:rsidP="0009078C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126,206 (100.0%)</w:t>
            </w:r>
          </w:p>
        </w:tc>
      </w:tr>
    </w:tbl>
    <w:p w:rsidR="00876538" w:rsidRPr="00A25918" w:rsidRDefault="00876538" w:rsidP="00494200">
      <w:pPr>
        <w:spacing w:after="0"/>
        <w:ind w:left="360"/>
        <w:jc w:val="center"/>
        <w:rPr>
          <w:rFonts w:ascii="Arial" w:hAnsi="Arial" w:cs="Arial"/>
          <w:b/>
          <w:sz w:val="32"/>
          <w:szCs w:val="32"/>
        </w:rPr>
      </w:pPr>
    </w:p>
    <w:p w:rsidR="00494200" w:rsidRPr="00A25918" w:rsidRDefault="00494200" w:rsidP="00494200">
      <w:pPr>
        <w:spacing w:after="0"/>
        <w:rPr>
          <w:rFonts w:ascii="Arial" w:hAnsi="Arial" w:cs="Arial"/>
          <w:b/>
          <w:sz w:val="16"/>
          <w:szCs w:val="16"/>
        </w:rPr>
      </w:pPr>
    </w:p>
    <w:p w:rsidR="00494200" w:rsidRDefault="00494200" w:rsidP="00494200"/>
    <w:p w:rsidR="00494200" w:rsidRDefault="00494200" w:rsidP="00494200">
      <w:bookmarkStart w:id="0" w:name="_GoBack"/>
      <w:bookmarkEnd w:id="0"/>
    </w:p>
    <w:p w:rsidR="00494200" w:rsidRDefault="00494200" w:rsidP="00494200"/>
    <w:p w:rsidR="00A25918" w:rsidRPr="00A25918" w:rsidRDefault="00A25918" w:rsidP="0007719F">
      <w:pPr>
        <w:spacing w:after="0"/>
        <w:rPr>
          <w:rFonts w:ascii="Arial" w:hAnsi="Arial" w:cs="Arial"/>
          <w:b/>
          <w:sz w:val="28"/>
          <w:szCs w:val="28"/>
        </w:rPr>
      </w:pPr>
    </w:p>
    <w:sectPr w:rsidR="00A25918" w:rsidRPr="00A25918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850F9" w:rsidRDefault="009850F9" w:rsidP="00FB2000">
      <w:pPr>
        <w:spacing w:after="0" w:line="240" w:lineRule="auto"/>
      </w:pPr>
      <w:r>
        <w:separator/>
      </w:r>
    </w:p>
  </w:endnote>
  <w:endnote w:type="continuationSeparator" w:id="0">
    <w:p w:rsidR="009850F9" w:rsidRDefault="009850F9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F9" w:rsidRDefault="009850F9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991C78C" wp14:editId="78A1120F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850F9" w:rsidRDefault="009850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850F9" w:rsidRDefault="009850F9" w:rsidP="00FB2000">
      <w:pPr>
        <w:spacing w:after="0" w:line="240" w:lineRule="auto"/>
      </w:pPr>
      <w:r>
        <w:separator/>
      </w:r>
    </w:p>
  </w:footnote>
  <w:footnote w:type="continuationSeparator" w:id="0">
    <w:p w:rsidR="009850F9" w:rsidRDefault="009850F9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850F9" w:rsidRDefault="009850F9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3D7F5FD4" wp14:editId="5A8C0B13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9850F9" w:rsidRDefault="009850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E8383B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41104"/>
    <w:rsid w:val="0004210F"/>
    <w:rsid w:val="000440A8"/>
    <w:rsid w:val="00051077"/>
    <w:rsid w:val="00072012"/>
    <w:rsid w:val="000756C2"/>
    <w:rsid w:val="0007719F"/>
    <w:rsid w:val="000772DD"/>
    <w:rsid w:val="0009078C"/>
    <w:rsid w:val="00091772"/>
    <w:rsid w:val="000A0AA0"/>
    <w:rsid w:val="000B0EEA"/>
    <w:rsid w:val="000B6B37"/>
    <w:rsid w:val="000C3003"/>
    <w:rsid w:val="000E619A"/>
    <w:rsid w:val="000F1681"/>
    <w:rsid w:val="001222EF"/>
    <w:rsid w:val="0012464C"/>
    <w:rsid w:val="00126662"/>
    <w:rsid w:val="00142FDA"/>
    <w:rsid w:val="00195295"/>
    <w:rsid w:val="001A320D"/>
    <w:rsid w:val="001B4E57"/>
    <w:rsid w:val="001B6491"/>
    <w:rsid w:val="001C3BDA"/>
    <w:rsid w:val="001C5AD9"/>
    <w:rsid w:val="001D5700"/>
    <w:rsid w:val="00200A52"/>
    <w:rsid w:val="00214299"/>
    <w:rsid w:val="002236FF"/>
    <w:rsid w:val="00233455"/>
    <w:rsid w:val="0023602E"/>
    <w:rsid w:val="0027431A"/>
    <w:rsid w:val="00276567"/>
    <w:rsid w:val="002A47EB"/>
    <w:rsid w:val="002C53F7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836C7"/>
    <w:rsid w:val="003E7905"/>
    <w:rsid w:val="003F1FA6"/>
    <w:rsid w:val="0040109C"/>
    <w:rsid w:val="0040658F"/>
    <w:rsid w:val="00430AF6"/>
    <w:rsid w:val="00433831"/>
    <w:rsid w:val="00442F63"/>
    <w:rsid w:val="00453A95"/>
    <w:rsid w:val="004752F8"/>
    <w:rsid w:val="00484DEE"/>
    <w:rsid w:val="00494200"/>
    <w:rsid w:val="004B1834"/>
    <w:rsid w:val="004F0023"/>
    <w:rsid w:val="00501823"/>
    <w:rsid w:val="00506578"/>
    <w:rsid w:val="00507121"/>
    <w:rsid w:val="0051406F"/>
    <w:rsid w:val="00520693"/>
    <w:rsid w:val="0054273D"/>
    <w:rsid w:val="0056133B"/>
    <w:rsid w:val="00576A85"/>
    <w:rsid w:val="00577B41"/>
    <w:rsid w:val="00584AA0"/>
    <w:rsid w:val="00593F88"/>
    <w:rsid w:val="00594664"/>
    <w:rsid w:val="005C1188"/>
    <w:rsid w:val="005C397A"/>
    <w:rsid w:val="005D2C2E"/>
    <w:rsid w:val="00604ABE"/>
    <w:rsid w:val="006250FC"/>
    <w:rsid w:val="00677868"/>
    <w:rsid w:val="00696A94"/>
    <w:rsid w:val="006A7683"/>
    <w:rsid w:val="006B4BFF"/>
    <w:rsid w:val="006E0FBB"/>
    <w:rsid w:val="006E1414"/>
    <w:rsid w:val="00702C83"/>
    <w:rsid w:val="007139A3"/>
    <w:rsid w:val="00726F2A"/>
    <w:rsid w:val="00740DF9"/>
    <w:rsid w:val="00742EC1"/>
    <w:rsid w:val="007647FC"/>
    <w:rsid w:val="00793493"/>
    <w:rsid w:val="007B610E"/>
    <w:rsid w:val="008221E1"/>
    <w:rsid w:val="00830BD8"/>
    <w:rsid w:val="0085196E"/>
    <w:rsid w:val="008522F8"/>
    <w:rsid w:val="00864EA7"/>
    <w:rsid w:val="00876538"/>
    <w:rsid w:val="00891224"/>
    <w:rsid w:val="008B2ACC"/>
    <w:rsid w:val="008B58A5"/>
    <w:rsid w:val="008C1667"/>
    <w:rsid w:val="008C7C50"/>
    <w:rsid w:val="009135CC"/>
    <w:rsid w:val="00913D3B"/>
    <w:rsid w:val="0091653E"/>
    <w:rsid w:val="00936274"/>
    <w:rsid w:val="00964903"/>
    <w:rsid w:val="00974250"/>
    <w:rsid w:val="009850F9"/>
    <w:rsid w:val="00993A01"/>
    <w:rsid w:val="009A0023"/>
    <w:rsid w:val="009C247B"/>
    <w:rsid w:val="009D5E4B"/>
    <w:rsid w:val="009D6D94"/>
    <w:rsid w:val="00A11293"/>
    <w:rsid w:val="00A25918"/>
    <w:rsid w:val="00A43D36"/>
    <w:rsid w:val="00A517E5"/>
    <w:rsid w:val="00A57632"/>
    <w:rsid w:val="00A716E7"/>
    <w:rsid w:val="00A833A0"/>
    <w:rsid w:val="00AA444C"/>
    <w:rsid w:val="00B01E2F"/>
    <w:rsid w:val="00B102EE"/>
    <w:rsid w:val="00B105C9"/>
    <w:rsid w:val="00B27D30"/>
    <w:rsid w:val="00B5694C"/>
    <w:rsid w:val="00B63DE0"/>
    <w:rsid w:val="00B750A3"/>
    <w:rsid w:val="00B80E78"/>
    <w:rsid w:val="00B82E86"/>
    <w:rsid w:val="00B83D07"/>
    <w:rsid w:val="00B84AA5"/>
    <w:rsid w:val="00B933A7"/>
    <w:rsid w:val="00BA68D1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4CA0"/>
    <w:rsid w:val="00C86BAA"/>
    <w:rsid w:val="00CB16F9"/>
    <w:rsid w:val="00CB5CB1"/>
    <w:rsid w:val="00CD0C2E"/>
    <w:rsid w:val="00CD1E23"/>
    <w:rsid w:val="00CE1624"/>
    <w:rsid w:val="00CF489B"/>
    <w:rsid w:val="00D0532D"/>
    <w:rsid w:val="00D165B0"/>
    <w:rsid w:val="00D24529"/>
    <w:rsid w:val="00D314BC"/>
    <w:rsid w:val="00D3443C"/>
    <w:rsid w:val="00D413DF"/>
    <w:rsid w:val="00D448C6"/>
    <w:rsid w:val="00D44E29"/>
    <w:rsid w:val="00D6477B"/>
    <w:rsid w:val="00D6793E"/>
    <w:rsid w:val="00D877FC"/>
    <w:rsid w:val="00D96A8E"/>
    <w:rsid w:val="00D96DC9"/>
    <w:rsid w:val="00DB7F2F"/>
    <w:rsid w:val="00DD139D"/>
    <w:rsid w:val="00DD1B91"/>
    <w:rsid w:val="00DE3C33"/>
    <w:rsid w:val="00DE547A"/>
    <w:rsid w:val="00E27405"/>
    <w:rsid w:val="00E27565"/>
    <w:rsid w:val="00E640DC"/>
    <w:rsid w:val="00E7764E"/>
    <w:rsid w:val="00E85F97"/>
    <w:rsid w:val="00E8695A"/>
    <w:rsid w:val="00E91B5E"/>
    <w:rsid w:val="00EA1905"/>
    <w:rsid w:val="00EB040E"/>
    <w:rsid w:val="00EC5711"/>
    <w:rsid w:val="00F467F6"/>
    <w:rsid w:val="00F50D16"/>
    <w:rsid w:val="00F86539"/>
    <w:rsid w:val="00FB2000"/>
    <w:rsid w:val="00FD5EBF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A6A9E2-5DDB-4F41-8263-B41EAD3341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31</TotalTime>
  <Pages>9</Pages>
  <Words>1022</Words>
  <Characters>5830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6839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7</cp:revision>
  <cp:lastPrinted>2012-10-18T04:29:00Z</cp:lastPrinted>
  <dcterms:created xsi:type="dcterms:W3CDTF">2012-10-22T03:50:00Z</dcterms:created>
  <dcterms:modified xsi:type="dcterms:W3CDTF">2012-10-22T05:29:00Z</dcterms:modified>
</cp:coreProperties>
</file>